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7E3" w:rsidRPr="00DE0AF8" w:rsidRDefault="00FD7E73" w:rsidP="00500469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DE0AF8">
        <w:rPr>
          <w:rFonts w:ascii="Times New Roman" w:hAnsi="Times New Roman"/>
          <w:b/>
          <w:sz w:val="28"/>
          <w:szCs w:val="28"/>
          <w:lang w:val="en-US"/>
        </w:rPr>
        <w:t xml:space="preserve">Restoring balance </w:t>
      </w:r>
      <w:r w:rsidR="00CE578D" w:rsidRPr="00DE0AF8">
        <w:rPr>
          <w:rFonts w:ascii="Times New Roman" w:hAnsi="Times New Roman"/>
          <w:b/>
          <w:sz w:val="28"/>
          <w:szCs w:val="28"/>
          <w:lang w:val="en-US"/>
        </w:rPr>
        <w:t xml:space="preserve">in </w:t>
      </w:r>
      <w:r w:rsidR="00C84286" w:rsidRPr="00DE0AF8">
        <w:rPr>
          <w:rFonts w:ascii="Times New Roman" w:hAnsi="Times New Roman"/>
          <w:b/>
          <w:sz w:val="28"/>
          <w:szCs w:val="28"/>
          <w:lang w:val="en-US"/>
        </w:rPr>
        <w:t xml:space="preserve">public </w:t>
      </w:r>
      <w:r w:rsidR="00500469" w:rsidRPr="00DE0AF8">
        <w:rPr>
          <w:rFonts w:ascii="Times New Roman" w:hAnsi="Times New Roman"/>
          <w:b/>
          <w:sz w:val="28"/>
          <w:szCs w:val="28"/>
          <w:lang w:val="en-US"/>
        </w:rPr>
        <w:t>finance</w:t>
      </w:r>
      <w:r w:rsidR="00CE578D" w:rsidRPr="00DE0AF8">
        <w:rPr>
          <w:rFonts w:ascii="Times New Roman" w:hAnsi="Times New Roman"/>
          <w:b/>
          <w:sz w:val="28"/>
          <w:szCs w:val="28"/>
          <w:lang w:val="en-US"/>
        </w:rPr>
        <w:t xml:space="preserve"> in Europe</w:t>
      </w:r>
    </w:p>
    <w:p w:rsidR="00A91DD7" w:rsidRPr="00DE0AF8" w:rsidRDefault="00500469" w:rsidP="00500469">
      <w:pPr>
        <w:spacing w:line="240" w:lineRule="auto"/>
        <w:jc w:val="center"/>
        <w:rPr>
          <w:rStyle w:val="hps"/>
          <w:rFonts w:ascii="Times New Roman" w:hAnsi="Times New Roman"/>
          <w:b/>
          <w:sz w:val="28"/>
          <w:szCs w:val="28"/>
          <w:lang w:val="en-US"/>
        </w:rPr>
      </w:pPr>
      <w:r w:rsidRPr="00DE0AF8">
        <w:rPr>
          <w:rFonts w:ascii="Times New Roman" w:hAnsi="Times New Roman"/>
          <w:b/>
          <w:sz w:val="28"/>
          <w:szCs w:val="28"/>
          <w:lang w:val="en-US"/>
        </w:rPr>
        <w:t xml:space="preserve">in the light </w:t>
      </w:r>
      <w:r w:rsidR="008B6605" w:rsidRPr="00DE0AF8">
        <w:rPr>
          <w:rFonts w:ascii="Times New Roman" w:hAnsi="Times New Roman"/>
          <w:b/>
          <w:sz w:val="28"/>
          <w:szCs w:val="28"/>
          <w:lang w:val="en-US"/>
        </w:rPr>
        <w:t>of Fiscal Compact</w:t>
      </w:r>
    </w:p>
    <w:p w:rsidR="00CE578D" w:rsidRPr="00DE0AF8" w:rsidRDefault="0099264C" w:rsidP="00675F3E">
      <w:pPr>
        <w:spacing w:line="480" w:lineRule="auto"/>
        <w:jc w:val="both"/>
        <w:rPr>
          <w:rStyle w:val="hps"/>
          <w:rFonts w:ascii="Times New Roman" w:hAnsi="Times New Roman"/>
          <w:b/>
          <w:sz w:val="24"/>
          <w:szCs w:val="24"/>
          <w:lang w:val="en-US"/>
        </w:rPr>
      </w:pPr>
      <w:r w:rsidRPr="00DE0AF8">
        <w:rPr>
          <w:rStyle w:val="hps"/>
          <w:rFonts w:ascii="Times New Roman" w:hAnsi="Times New Roman"/>
          <w:b/>
          <w:sz w:val="24"/>
          <w:szCs w:val="24"/>
          <w:lang w:val="en-US"/>
        </w:rPr>
        <w:t>Abstract</w:t>
      </w:r>
    </w:p>
    <w:p w:rsidR="0099264C" w:rsidRPr="00DE0AF8" w:rsidRDefault="00500469" w:rsidP="009926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en-US"/>
        </w:rPr>
      </w:pPr>
      <w:r w:rsidRPr="00DE0AF8">
        <w:rPr>
          <w:rFonts w:ascii="Times New Roman" w:hAnsi="Times New Roman"/>
          <w:lang w:val="en-US"/>
        </w:rPr>
        <w:t xml:space="preserve">The aim of </w:t>
      </w:r>
      <w:r w:rsidR="0099264C" w:rsidRPr="00DE0AF8">
        <w:rPr>
          <w:rFonts w:ascii="Times New Roman" w:hAnsi="Times New Roman"/>
          <w:lang w:val="en-US"/>
        </w:rPr>
        <w:t>this article is to assess the extent to which Member States have achieved their medium-term budgetary objectives (MTO</w:t>
      </w:r>
      <w:r w:rsidRPr="00DE0AF8">
        <w:rPr>
          <w:rFonts w:ascii="Times New Roman" w:hAnsi="Times New Roman"/>
          <w:lang w:val="en-US"/>
        </w:rPr>
        <w:t>s</w:t>
      </w:r>
      <w:r w:rsidR="0099264C" w:rsidRPr="00DE0AF8">
        <w:rPr>
          <w:rFonts w:ascii="Times New Roman" w:hAnsi="Times New Roman"/>
          <w:lang w:val="en-US"/>
        </w:rPr>
        <w:t>) and the benchmark</w:t>
      </w:r>
      <w:r w:rsidRPr="00DE0AF8">
        <w:rPr>
          <w:rFonts w:ascii="Times New Roman" w:hAnsi="Times New Roman"/>
          <w:lang w:val="en-US"/>
        </w:rPr>
        <w:t xml:space="preserve"> </w:t>
      </w:r>
      <w:r w:rsidR="0099264C" w:rsidRPr="00DE0AF8">
        <w:rPr>
          <w:rFonts w:ascii="Times New Roman" w:hAnsi="Times New Roman"/>
          <w:lang w:val="en-US"/>
        </w:rPr>
        <w:t>for government debt reduction in the light of the</w:t>
      </w:r>
      <w:r w:rsidRPr="00DE0AF8">
        <w:rPr>
          <w:rFonts w:ascii="Times New Roman" w:hAnsi="Times New Roman"/>
          <w:lang w:val="en-US"/>
        </w:rPr>
        <w:t xml:space="preserve"> Fiscal Compact’s provisions</w:t>
      </w:r>
      <w:r w:rsidR="00F911DC" w:rsidRPr="00DE0AF8">
        <w:rPr>
          <w:rFonts w:ascii="Times New Roman" w:hAnsi="Times New Roman"/>
          <w:lang w:val="en-US"/>
        </w:rPr>
        <w:t xml:space="preserve">  </w:t>
      </w:r>
      <w:r w:rsidRPr="00DE0AF8">
        <w:rPr>
          <w:rFonts w:ascii="Times New Roman" w:hAnsi="Times New Roman"/>
          <w:lang w:val="en-US"/>
        </w:rPr>
        <w:t xml:space="preserve">along with </w:t>
      </w:r>
      <w:r w:rsidR="0099264C" w:rsidRPr="00DE0AF8">
        <w:rPr>
          <w:rFonts w:ascii="Times New Roman" w:hAnsi="Times New Roman"/>
          <w:lang w:val="en-US"/>
        </w:rPr>
        <w:t>identify</w:t>
      </w:r>
      <w:r w:rsidRPr="00DE0AF8">
        <w:rPr>
          <w:rFonts w:ascii="Times New Roman" w:hAnsi="Times New Roman"/>
          <w:lang w:val="en-US"/>
        </w:rPr>
        <w:t>ing</w:t>
      </w:r>
      <w:r w:rsidR="0099264C" w:rsidRPr="00DE0AF8">
        <w:rPr>
          <w:rFonts w:ascii="Times New Roman" w:hAnsi="Times New Roman"/>
          <w:lang w:val="en-US"/>
        </w:rPr>
        <w:t xml:space="preserve"> the risks involved in this process. </w:t>
      </w:r>
      <w:r w:rsidRPr="00DE0AF8">
        <w:rPr>
          <w:rFonts w:ascii="Times New Roman" w:hAnsi="Times New Roman"/>
          <w:lang w:val="en-US"/>
        </w:rPr>
        <w:t>By c</w:t>
      </w:r>
      <w:r w:rsidR="001B322A" w:rsidRPr="00DE0AF8">
        <w:rPr>
          <w:rFonts w:ascii="Times New Roman" w:hAnsi="Times New Roman"/>
          <w:lang w:val="en-US"/>
        </w:rPr>
        <w:t>arrying out a statistical</w:t>
      </w:r>
      <w:r w:rsidR="0099264C" w:rsidRPr="00DE0AF8">
        <w:rPr>
          <w:rFonts w:ascii="Times New Roman" w:hAnsi="Times New Roman"/>
          <w:lang w:val="en-US"/>
        </w:rPr>
        <w:t xml:space="preserve"> analysis and</w:t>
      </w:r>
      <w:r w:rsidRPr="00DE0AF8">
        <w:rPr>
          <w:rFonts w:ascii="Times New Roman" w:hAnsi="Times New Roman"/>
          <w:lang w:val="en-US"/>
        </w:rPr>
        <w:t xml:space="preserve"> </w:t>
      </w:r>
      <w:r w:rsidR="0099264C" w:rsidRPr="00DE0AF8">
        <w:rPr>
          <w:rFonts w:ascii="Times New Roman" w:hAnsi="Times New Roman"/>
          <w:lang w:val="en-US"/>
        </w:rPr>
        <w:t>by using a literature research method, the author shows that less than half of Member States have managed to meet the requirements imposed by</w:t>
      </w:r>
      <w:r w:rsidR="00125751" w:rsidRPr="00DE0AF8">
        <w:rPr>
          <w:rFonts w:ascii="Times New Roman" w:hAnsi="Times New Roman"/>
          <w:lang w:val="en-US"/>
        </w:rPr>
        <w:t xml:space="preserve"> the</w:t>
      </w:r>
      <w:r w:rsidR="0099264C" w:rsidRPr="00DE0AF8">
        <w:rPr>
          <w:rFonts w:ascii="Times New Roman" w:hAnsi="Times New Roman"/>
          <w:lang w:val="en-US"/>
        </w:rPr>
        <w:t xml:space="preserve"> Fiscal Compact. </w:t>
      </w:r>
      <w:r w:rsidRPr="00DE0AF8">
        <w:rPr>
          <w:rFonts w:ascii="Times New Roman" w:hAnsi="Times New Roman"/>
          <w:lang w:val="en-US"/>
        </w:rPr>
        <w:t xml:space="preserve">Outcome of the </w:t>
      </w:r>
      <w:r w:rsidR="00125751" w:rsidRPr="00DE0AF8">
        <w:rPr>
          <w:rFonts w:ascii="Times New Roman" w:hAnsi="Times New Roman"/>
          <w:lang w:val="en-US"/>
        </w:rPr>
        <w:t xml:space="preserve">conducted </w:t>
      </w:r>
      <w:r w:rsidRPr="00DE0AF8">
        <w:rPr>
          <w:rFonts w:ascii="Times New Roman" w:hAnsi="Times New Roman"/>
          <w:lang w:val="en-US"/>
        </w:rPr>
        <w:t>a</w:t>
      </w:r>
      <w:r w:rsidR="0099264C" w:rsidRPr="00DE0AF8">
        <w:rPr>
          <w:rFonts w:ascii="Times New Roman" w:hAnsi="Times New Roman"/>
          <w:lang w:val="en-US"/>
        </w:rPr>
        <w:t xml:space="preserve">nalysis suggests that the impact </w:t>
      </w:r>
      <w:r w:rsidR="001B322A" w:rsidRPr="00DE0AF8">
        <w:rPr>
          <w:rFonts w:ascii="Times New Roman" w:hAnsi="Times New Roman"/>
          <w:lang w:val="en-US"/>
        </w:rPr>
        <w:br/>
      </w:r>
      <w:r w:rsidR="0099264C" w:rsidRPr="00DE0AF8">
        <w:rPr>
          <w:rFonts w:ascii="Times New Roman" w:hAnsi="Times New Roman"/>
          <w:lang w:val="en-US"/>
        </w:rPr>
        <w:t xml:space="preserve">of fiscal consolidation on economic growth is seen as </w:t>
      </w:r>
      <w:r w:rsidRPr="00DE0AF8">
        <w:rPr>
          <w:rFonts w:ascii="Times New Roman" w:hAnsi="Times New Roman"/>
          <w:lang w:val="en-US"/>
        </w:rPr>
        <w:t xml:space="preserve">one of the main reasons </w:t>
      </w:r>
      <w:r w:rsidRPr="00DE0AF8">
        <w:rPr>
          <w:rFonts w:ascii="Times New Roman" w:hAnsi="Times New Roman"/>
          <w:lang w:val="en-US"/>
        </w:rPr>
        <w:br/>
      </w:r>
      <w:r w:rsidR="0099264C" w:rsidRPr="00DE0AF8">
        <w:rPr>
          <w:rFonts w:ascii="Times New Roman" w:hAnsi="Times New Roman"/>
          <w:lang w:val="en-US"/>
        </w:rPr>
        <w:t>for this state</w:t>
      </w:r>
      <w:r w:rsidRPr="00DE0AF8">
        <w:rPr>
          <w:rFonts w:ascii="Times New Roman" w:hAnsi="Times New Roman"/>
          <w:lang w:val="en-US"/>
        </w:rPr>
        <w:t xml:space="preserve"> </w:t>
      </w:r>
      <w:r w:rsidR="0099264C" w:rsidRPr="00DE0AF8">
        <w:rPr>
          <w:rFonts w:ascii="Times New Roman" w:hAnsi="Times New Roman"/>
          <w:lang w:val="en-US"/>
        </w:rPr>
        <w:t>of affairs.</w:t>
      </w:r>
    </w:p>
    <w:p w:rsidR="0099264C" w:rsidRPr="00DE0AF8" w:rsidRDefault="0099264C" w:rsidP="009926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en-US"/>
        </w:rPr>
      </w:pPr>
      <w:r w:rsidRPr="00DE0AF8">
        <w:rPr>
          <w:rFonts w:ascii="Times New Roman" w:hAnsi="Times New Roman"/>
          <w:lang w:val="en-US"/>
        </w:rPr>
        <w:t xml:space="preserve">The author regards the provisions of </w:t>
      </w:r>
      <w:r w:rsidRPr="00B15CD1">
        <w:rPr>
          <w:rFonts w:ascii="Times New Roman" w:eastAsiaTheme="minorHAnsi" w:hAnsi="Times New Roman"/>
          <w:lang w:val="en-US"/>
        </w:rPr>
        <w:t>the Fiscal Compac</w:t>
      </w:r>
      <w:r w:rsidRPr="00B15CD1">
        <w:rPr>
          <w:rFonts w:ascii="Times New Roman" w:hAnsi="Times New Roman"/>
          <w:lang w:val="en-US"/>
        </w:rPr>
        <w:t>t as</w:t>
      </w:r>
      <w:r w:rsidRPr="00B15CD1">
        <w:rPr>
          <w:rFonts w:ascii="Times New Roman" w:eastAsiaTheme="minorHAnsi" w:hAnsi="Times New Roman"/>
          <w:lang w:val="en-US"/>
        </w:rPr>
        <w:t xml:space="preserve"> a welcome step towards anchoring fiscal discipline</w:t>
      </w:r>
      <w:r w:rsidRPr="00B15CD1">
        <w:rPr>
          <w:rFonts w:ascii="Times New Roman" w:hAnsi="Times New Roman"/>
          <w:lang w:val="en-US"/>
        </w:rPr>
        <w:t xml:space="preserve"> in Europe stating that i</w:t>
      </w:r>
      <w:r w:rsidRPr="00B15CD1">
        <w:rPr>
          <w:rFonts w:ascii="Times New Roman" w:eastAsiaTheme="minorHAnsi" w:hAnsi="Times New Roman"/>
          <w:lang w:val="en-US"/>
        </w:rPr>
        <w:t xml:space="preserve">f strictly implemented </w:t>
      </w:r>
      <w:r w:rsidR="00F911DC">
        <w:rPr>
          <w:rFonts w:ascii="Times New Roman" w:hAnsi="Times New Roman"/>
          <w:lang w:val="en-US"/>
        </w:rPr>
        <w:t>and enforced, they</w:t>
      </w:r>
      <w:r w:rsidRPr="00B15CD1">
        <w:rPr>
          <w:rFonts w:ascii="Times New Roman" w:eastAsiaTheme="minorHAnsi" w:hAnsi="Times New Roman"/>
          <w:lang w:val="en-US"/>
        </w:rPr>
        <w:t xml:space="preserve"> should strengthen the existing fiscal</w:t>
      </w:r>
      <w:r w:rsidRPr="00DE0AF8">
        <w:rPr>
          <w:rFonts w:ascii="Times New Roman" w:hAnsi="Times New Roman"/>
          <w:lang w:val="en-US"/>
        </w:rPr>
        <w:t xml:space="preserve"> </w:t>
      </w:r>
      <w:r w:rsidRPr="00B15CD1">
        <w:rPr>
          <w:rFonts w:ascii="Times New Roman" w:eastAsiaTheme="minorHAnsi" w:hAnsi="Times New Roman"/>
          <w:lang w:val="en-US"/>
        </w:rPr>
        <w:t>governance framework and foster its credibility</w:t>
      </w:r>
      <w:r w:rsidR="00F911DC">
        <w:rPr>
          <w:rFonts w:ascii="Times New Roman" w:eastAsiaTheme="minorHAnsi" w:hAnsi="Times New Roman"/>
          <w:lang w:val="en-US"/>
        </w:rPr>
        <w:t xml:space="preserve"> </w:t>
      </w:r>
      <w:r w:rsidRPr="00B15CD1">
        <w:rPr>
          <w:rFonts w:ascii="Times New Roman" w:eastAsiaTheme="minorHAnsi" w:hAnsi="Times New Roman"/>
          <w:lang w:val="en-US"/>
        </w:rPr>
        <w:t>in the future</w:t>
      </w:r>
      <w:r w:rsidR="00125751">
        <w:rPr>
          <w:rFonts w:ascii="Times New Roman" w:hAnsi="Times New Roman"/>
          <w:lang w:val="en-US"/>
        </w:rPr>
        <w:t xml:space="preserve">, </w:t>
      </w:r>
      <w:r w:rsidRPr="00B15CD1">
        <w:rPr>
          <w:rFonts w:ascii="Times New Roman" w:hAnsi="Times New Roman"/>
          <w:lang w:val="en-US"/>
        </w:rPr>
        <w:t>substantially reducing the risk of another sovereign debt crisis.</w:t>
      </w:r>
    </w:p>
    <w:p w:rsidR="00B658F4" w:rsidRDefault="00B658F4" w:rsidP="0099264C">
      <w:pPr>
        <w:spacing w:line="240" w:lineRule="auto"/>
        <w:jc w:val="both"/>
        <w:rPr>
          <w:lang w:val="en-US"/>
        </w:rPr>
      </w:pPr>
    </w:p>
    <w:p w:rsidR="0099264C" w:rsidRPr="00DE0AF8" w:rsidRDefault="0099264C" w:rsidP="0099264C">
      <w:pPr>
        <w:spacing w:line="240" w:lineRule="auto"/>
        <w:jc w:val="both"/>
        <w:rPr>
          <w:rFonts w:ascii="Times New Roman" w:hAnsi="Times New Roman"/>
          <w:lang w:val="en-US"/>
        </w:rPr>
      </w:pPr>
      <w:r w:rsidRPr="00DE0AF8">
        <w:rPr>
          <w:rFonts w:ascii="Times New Roman" w:hAnsi="Times New Roman"/>
          <w:b/>
          <w:lang w:val="en-US"/>
        </w:rPr>
        <w:t>Keywords</w:t>
      </w:r>
      <w:r w:rsidRPr="00DE0AF8">
        <w:rPr>
          <w:rFonts w:ascii="Times New Roman" w:hAnsi="Times New Roman"/>
          <w:lang w:val="en-US"/>
        </w:rPr>
        <w:t>: medium-term budgetary objective (MTO), debt-to-GDP ratio, fiscal consolidation, the Stability and Growth Pact, the Fiscal Compact.</w:t>
      </w:r>
    </w:p>
    <w:p w:rsidR="0099264C" w:rsidRPr="00A31438" w:rsidRDefault="0099264C" w:rsidP="0099264C">
      <w:pPr>
        <w:spacing w:line="240" w:lineRule="auto"/>
        <w:jc w:val="both"/>
        <w:rPr>
          <w:rStyle w:val="hps"/>
          <w:rFonts w:ascii="Times New Roman" w:hAnsi="Times New Roman"/>
        </w:rPr>
      </w:pPr>
      <w:r w:rsidRPr="00A31438">
        <w:rPr>
          <w:rFonts w:ascii="Times New Roman" w:hAnsi="Times New Roman"/>
          <w:b/>
        </w:rPr>
        <w:t xml:space="preserve">JEL </w:t>
      </w:r>
      <w:proofErr w:type="spellStart"/>
      <w:r w:rsidRPr="00A31438">
        <w:rPr>
          <w:rFonts w:ascii="Times New Roman" w:hAnsi="Times New Roman"/>
          <w:b/>
        </w:rPr>
        <w:t>Classification</w:t>
      </w:r>
      <w:proofErr w:type="spellEnd"/>
      <w:r w:rsidRPr="00A31438">
        <w:rPr>
          <w:rFonts w:ascii="Times New Roman" w:hAnsi="Times New Roman"/>
          <w:b/>
        </w:rPr>
        <w:t>:</w:t>
      </w:r>
      <w:r w:rsidRPr="00A31438">
        <w:rPr>
          <w:rFonts w:ascii="Times New Roman" w:hAnsi="Times New Roman"/>
        </w:rPr>
        <w:t xml:space="preserve"> </w:t>
      </w:r>
      <w:r w:rsidR="007929F8" w:rsidRPr="00A31438">
        <w:rPr>
          <w:rFonts w:ascii="Times New Roman" w:hAnsi="Times New Roman"/>
        </w:rPr>
        <w:t>E61, E62.</w:t>
      </w:r>
    </w:p>
    <w:p w:rsidR="004E733C" w:rsidRPr="001169C8" w:rsidRDefault="004E733C" w:rsidP="004E733C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1169C8">
        <w:rPr>
          <w:rFonts w:ascii="Times New Roman" w:hAnsi="Times New Roman"/>
          <w:b/>
          <w:sz w:val="24"/>
          <w:szCs w:val="24"/>
        </w:rPr>
        <w:t>Abstract</w:t>
      </w:r>
      <w:proofErr w:type="spellEnd"/>
    </w:p>
    <w:p w:rsidR="00CC2B45" w:rsidRPr="00E42EE1" w:rsidRDefault="00CC2B45" w:rsidP="00CC2B4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42EE1">
        <w:rPr>
          <w:rFonts w:ascii="Times New Roman" w:hAnsi="Times New Roman"/>
          <w:sz w:val="24"/>
          <w:szCs w:val="24"/>
        </w:rPr>
        <w:t xml:space="preserve">Celem </w:t>
      </w:r>
      <w:r w:rsidR="00C913AF">
        <w:rPr>
          <w:rFonts w:ascii="Times New Roman" w:hAnsi="Times New Roman"/>
          <w:sz w:val="24"/>
          <w:szCs w:val="24"/>
        </w:rPr>
        <w:t>tego artykułu jest ocena stopnia</w:t>
      </w:r>
      <w:r w:rsidRPr="00E42EE1">
        <w:rPr>
          <w:rFonts w:ascii="Times New Roman" w:hAnsi="Times New Roman"/>
          <w:sz w:val="24"/>
          <w:szCs w:val="24"/>
        </w:rPr>
        <w:t xml:space="preserve">, w jakim państwa członkowskie osiągnęły średniookresowe cele budżetowe (MTO) oraz </w:t>
      </w:r>
      <w:r w:rsidR="00D60F64">
        <w:rPr>
          <w:rFonts w:ascii="Times New Roman" w:hAnsi="Times New Roman"/>
          <w:sz w:val="24"/>
          <w:szCs w:val="24"/>
        </w:rPr>
        <w:t xml:space="preserve">punkt odniesienia (benchmark) </w:t>
      </w:r>
      <w:r w:rsidR="00D60F64">
        <w:rPr>
          <w:rFonts w:ascii="Times New Roman" w:hAnsi="Times New Roman"/>
          <w:sz w:val="24"/>
          <w:szCs w:val="24"/>
        </w:rPr>
        <w:br/>
        <w:t>w zakresie</w:t>
      </w:r>
      <w:r w:rsidRPr="00E42EE1">
        <w:rPr>
          <w:rFonts w:ascii="Times New Roman" w:hAnsi="Times New Roman"/>
          <w:sz w:val="24"/>
          <w:szCs w:val="24"/>
        </w:rPr>
        <w:t xml:space="preserve"> redukcji zadłużenia publicznego w świetle postanowień </w:t>
      </w:r>
      <w:r w:rsidR="002E1323" w:rsidRPr="002E1323">
        <w:rPr>
          <w:rFonts w:ascii="Times New Roman" w:hAnsi="Times New Roman"/>
          <w:sz w:val="24"/>
          <w:szCs w:val="24"/>
        </w:rPr>
        <w:t>Paktu Fiskalnego</w:t>
      </w:r>
      <w:r w:rsidRPr="00E42EE1">
        <w:rPr>
          <w:rFonts w:ascii="Times New Roman" w:hAnsi="Times New Roman"/>
          <w:sz w:val="24"/>
          <w:szCs w:val="24"/>
        </w:rPr>
        <w:t xml:space="preserve"> wraz z określeniem zagrożeń związanych z tym procesem. Przeprowadzając analizę stat</w:t>
      </w:r>
      <w:r w:rsidR="00C913AF">
        <w:rPr>
          <w:rFonts w:ascii="Times New Roman" w:hAnsi="Times New Roman"/>
          <w:sz w:val="24"/>
          <w:szCs w:val="24"/>
        </w:rPr>
        <w:t>ystyczną oraz badania literaturowe</w:t>
      </w:r>
      <w:r w:rsidRPr="00E42EE1">
        <w:rPr>
          <w:rFonts w:ascii="Times New Roman" w:hAnsi="Times New Roman"/>
          <w:sz w:val="24"/>
          <w:szCs w:val="24"/>
        </w:rPr>
        <w:t xml:space="preserve">, autor wykazuje, że mniej niż połowa państw członkowskich zdołała spełnić wymagania narzucone przez </w:t>
      </w:r>
      <w:proofErr w:type="spellStart"/>
      <w:r w:rsidRPr="00E42EE1">
        <w:rPr>
          <w:rFonts w:ascii="Times New Roman" w:hAnsi="Times New Roman"/>
          <w:sz w:val="24"/>
          <w:szCs w:val="24"/>
        </w:rPr>
        <w:t>Fiscal</w:t>
      </w:r>
      <w:proofErr w:type="spellEnd"/>
      <w:r w:rsidRPr="00E42EE1">
        <w:rPr>
          <w:rFonts w:ascii="Times New Roman" w:hAnsi="Times New Roman"/>
          <w:sz w:val="24"/>
          <w:szCs w:val="24"/>
        </w:rPr>
        <w:t xml:space="preserve"> Compact. Wynik przeprowadzonej analizy wskazuje, że wpływ konsolidacji fiskalnej na wzrost gospodarczy jest postrzegany jako jeden z głównych powodów tego stanu rzeczy.</w:t>
      </w:r>
    </w:p>
    <w:p w:rsidR="00CC2B45" w:rsidRPr="00CC2B45" w:rsidRDefault="00C913AF" w:rsidP="00CC2B45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Autor uważa, że wymogi</w:t>
      </w:r>
      <w:r w:rsidR="00CC2B45" w:rsidRPr="00E42EE1">
        <w:rPr>
          <w:rFonts w:ascii="Times New Roman" w:hAnsi="Times New Roman"/>
          <w:sz w:val="24"/>
          <w:szCs w:val="24"/>
        </w:rPr>
        <w:t xml:space="preserve"> </w:t>
      </w:r>
      <w:r w:rsidR="002E1323">
        <w:rPr>
          <w:rFonts w:ascii="Times New Roman" w:hAnsi="Times New Roman"/>
          <w:sz w:val="24"/>
          <w:szCs w:val="24"/>
        </w:rPr>
        <w:t>Paktu Fiskalnego</w:t>
      </w:r>
      <w:r w:rsidR="00054188">
        <w:rPr>
          <w:rFonts w:ascii="Times New Roman" w:hAnsi="Times New Roman"/>
          <w:sz w:val="24"/>
          <w:szCs w:val="24"/>
        </w:rPr>
        <w:t xml:space="preserve"> </w:t>
      </w:r>
      <w:r w:rsidR="00CC2B45" w:rsidRPr="00E42EE1">
        <w:rPr>
          <w:rFonts w:ascii="Times New Roman" w:hAnsi="Times New Roman"/>
          <w:sz w:val="24"/>
          <w:szCs w:val="24"/>
        </w:rPr>
        <w:t xml:space="preserve">są </w:t>
      </w:r>
      <w:r w:rsidR="002E1323">
        <w:rPr>
          <w:rFonts w:ascii="Times New Roman" w:hAnsi="Times New Roman"/>
          <w:sz w:val="24"/>
          <w:szCs w:val="24"/>
        </w:rPr>
        <w:t>właściwym</w:t>
      </w:r>
      <w:r w:rsidR="000625A1">
        <w:rPr>
          <w:rFonts w:ascii="Times New Roman" w:hAnsi="Times New Roman"/>
          <w:sz w:val="24"/>
          <w:szCs w:val="24"/>
        </w:rPr>
        <w:t xml:space="preserve"> </w:t>
      </w:r>
      <w:r w:rsidR="00CC2B45" w:rsidRPr="00E42EE1">
        <w:rPr>
          <w:rFonts w:ascii="Times New Roman" w:hAnsi="Times New Roman"/>
          <w:sz w:val="24"/>
          <w:szCs w:val="24"/>
        </w:rPr>
        <w:t>krokiem w kierunku zakotwiczenia dyscypliny budżetowej w Europie i stwierdza, że w przypadku ścisłego wdrożenia i egzekwowania jego przepisów powinien on wzmacniać istniejące ramy zarządzania finansami publicznymi i przyczyniać się do zwiększenia ich wiarygodności w przyszłości, co zna</w:t>
      </w:r>
      <w:r>
        <w:rPr>
          <w:rFonts w:ascii="Times New Roman" w:hAnsi="Times New Roman"/>
          <w:sz w:val="24"/>
          <w:szCs w:val="24"/>
        </w:rPr>
        <w:t>cznie zmniejszy ryzyko wystąpienia</w:t>
      </w:r>
      <w:r w:rsidR="00CC2B45" w:rsidRPr="00E42EE1">
        <w:rPr>
          <w:rFonts w:ascii="Times New Roman" w:hAnsi="Times New Roman"/>
          <w:sz w:val="24"/>
          <w:szCs w:val="24"/>
        </w:rPr>
        <w:t xml:space="preserve"> kolejnego kryzysu zadłużenia suwerennego.</w:t>
      </w:r>
    </w:p>
    <w:p w:rsidR="004E733C" w:rsidRPr="001169C8" w:rsidRDefault="00CC2B45" w:rsidP="00C25EBA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1169C8">
        <w:rPr>
          <w:rFonts w:ascii="Times New Roman" w:hAnsi="Times New Roman"/>
          <w:b/>
          <w:sz w:val="20"/>
          <w:szCs w:val="20"/>
        </w:rPr>
        <w:t xml:space="preserve">Słowa kluczowe: </w:t>
      </w:r>
      <w:r w:rsidRPr="001169C8">
        <w:rPr>
          <w:rFonts w:ascii="Times New Roman" w:hAnsi="Times New Roman"/>
          <w:sz w:val="20"/>
          <w:szCs w:val="20"/>
        </w:rPr>
        <w:t xml:space="preserve">średniookresowy cel budżetowy, wskaźnik długu publicznego </w:t>
      </w:r>
      <w:r w:rsidR="00C25EBA" w:rsidRPr="001169C8">
        <w:rPr>
          <w:rFonts w:ascii="Times New Roman" w:hAnsi="Times New Roman"/>
          <w:sz w:val="20"/>
          <w:szCs w:val="20"/>
        </w:rPr>
        <w:br/>
      </w:r>
      <w:r w:rsidRPr="001169C8">
        <w:rPr>
          <w:rFonts w:ascii="Times New Roman" w:hAnsi="Times New Roman"/>
          <w:sz w:val="20"/>
          <w:szCs w:val="20"/>
        </w:rPr>
        <w:t>do PKB, konsolidacja fiskalna, Pakt Stabi</w:t>
      </w:r>
      <w:r w:rsidR="002E1323">
        <w:rPr>
          <w:rFonts w:ascii="Times New Roman" w:hAnsi="Times New Roman"/>
          <w:sz w:val="20"/>
          <w:szCs w:val="20"/>
        </w:rPr>
        <w:t>lności i Wzrostu, Pakt Fiskalny</w:t>
      </w:r>
      <w:r w:rsidRPr="001169C8">
        <w:rPr>
          <w:rFonts w:ascii="Times New Roman" w:hAnsi="Times New Roman"/>
          <w:sz w:val="20"/>
          <w:szCs w:val="20"/>
        </w:rPr>
        <w:t>.</w:t>
      </w:r>
      <w:bookmarkStart w:id="0" w:name="_GoBack"/>
      <w:bookmarkEnd w:id="0"/>
    </w:p>
    <w:sectPr w:rsidR="004E733C" w:rsidRPr="001169C8" w:rsidSect="003D11D4">
      <w:footerReference w:type="default" r:id="rId9"/>
      <w:pgSz w:w="11906" w:h="16838"/>
      <w:pgMar w:top="1418" w:right="1985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2766" w:rsidRDefault="006F2766" w:rsidP="00CE7782">
      <w:pPr>
        <w:spacing w:after="0" w:line="240" w:lineRule="auto"/>
      </w:pPr>
      <w:r>
        <w:separator/>
      </w:r>
    </w:p>
  </w:endnote>
  <w:endnote w:type="continuationSeparator" w:id="0">
    <w:p w:rsidR="006F2766" w:rsidRDefault="006F2766" w:rsidP="00CE77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7760309"/>
      <w:docPartObj>
        <w:docPartGallery w:val="Page Numbers (Bottom of Page)"/>
        <w:docPartUnique/>
      </w:docPartObj>
    </w:sdtPr>
    <w:sdtEndPr/>
    <w:sdtContent>
      <w:p w:rsidR="00BB5491" w:rsidRDefault="00437538">
        <w:pPr>
          <w:pStyle w:val="Stopka"/>
          <w:jc w:val="center"/>
        </w:pPr>
        <w:r>
          <w:fldChar w:fldCharType="begin"/>
        </w:r>
        <w:r w:rsidR="00BB5491">
          <w:instrText>PAGE   \* MERGEFORMAT</w:instrText>
        </w:r>
        <w:r>
          <w:fldChar w:fldCharType="separate"/>
        </w:r>
        <w:r w:rsidR="000F4A46">
          <w:rPr>
            <w:noProof/>
          </w:rPr>
          <w:t>1</w:t>
        </w:r>
        <w:r>
          <w:fldChar w:fldCharType="end"/>
        </w:r>
      </w:p>
    </w:sdtContent>
  </w:sdt>
  <w:p w:rsidR="00BB5491" w:rsidRDefault="00BB549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2766" w:rsidRDefault="006F2766" w:rsidP="00CE7782">
      <w:pPr>
        <w:spacing w:after="0" w:line="240" w:lineRule="auto"/>
      </w:pPr>
      <w:r>
        <w:separator/>
      </w:r>
    </w:p>
  </w:footnote>
  <w:footnote w:type="continuationSeparator" w:id="0">
    <w:p w:rsidR="006F2766" w:rsidRDefault="006F2766" w:rsidP="00CE77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0152FC"/>
    <w:multiLevelType w:val="hybridMultilevel"/>
    <w:tmpl w:val="DA2EB3EA"/>
    <w:lvl w:ilvl="0" w:tplc="BC4E946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723E8F"/>
    <w:multiLevelType w:val="hybridMultilevel"/>
    <w:tmpl w:val="DA2EB3EA"/>
    <w:lvl w:ilvl="0" w:tplc="BC4E946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5943ED"/>
    <w:multiLevelType w:val="hybridMultilevel"/>
    <w:tmpl w:val="7FE4C2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C21213"/>
    <w:multiLevelType w:val="hybridMultilevel"/>
    <w:tmpl w:val="4D8E92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3160D1"/>
    <w:multiLevelType w:val="hybridMultilevel"/>
    <w:tmpl w:val="DA2EB3EA"/>
    <w:lvl w:ilvl="0" w:tplc="BC4E946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328"/>
    <w:rsid w:val="00003C7E"/>
    <w:rsid w:val="000078D7"/>
    <w:rsid w:val="000316FD"/>
    <w:rsid w:val="00034261"/>
    <w:rsid w:val="000439F9"/>
    <w:rsid w:val="00043ADF"/>
    <w:rsid w:val="00045434"/>
    <w:rsid w:val="00045ED4"/>
    <w:rsid w:val="00053F7C"/>
    <w:rsid w:val="00054188"/>
    <w:rsid w:val="00054848"/>
    <w:rsid w:val="00056BBD"/>
    <w:rsid w:val="00056D25"/>
    <w:rsid w:val="00062111"/>
    <w:rsid w:val="000625A1"/>
    <w:rsid w:val="00064380"/>
    <w:rsid w:val="000706C5"/>
    <w:rsid w:val="00070A80"/>
    <w:rsid w:val="00077330"/>
    <w:rsid w:val="00095C71"/>
    <w:rsid w:val="00097F51"/>
    <w:rsid w:val="000A2C9F"/>
    <w:rsid w:val="000A7B97"/>
    <w:rsid w:val="000B1B80"/>
    <w:rsid w:val="000B1E67"/>
    <w:rsid w:val="000D2349"/>
    <w:rsid w:val="000F283A"/>
    <w:rsid w:val="000F3260"/>
    <w:rsid w:val="000F4A46"/>
    <w:rsid w:val="00106AE3"/>
    <w:rsid w:val="001114E3"/>
    <w:rsid w:val="001161D3"/>
    <w:rsid w:val="001169C8"/>
    <w:rsid w:val="00124473"/>
    <w:rsid w:val="00125751"/>
    <w:rsid w:val="001374B9"/>
    <w:rsid w:val="00144BCF"/>
    <w:rsid w:val="001571DE"/>
    <w:rsid w:val="0016289A"/>
    <w:rsid w:val="00164AA9"/>
    <w:rsid w:val="001942A8"/>
    <w:rsid w:val="001944BB"/>
    <w:rsid w:val="001A424D"/>
    <w:rsid w:val="001A4CBA"/>
    <w:rsid w:val="001A58B1"/>
    <w:rsid w:val="001B0A51"/>
    <w:rsid w:val="001B322A"/>
    <w:rsid w:val="001D170C"/>
    <w:rsid w:val="001D354B"/>
    <w:rsid w:val="001D7E4C"/>
    <w:rsid w:val="001E1A38"/>
    <w:rsid w:val="001E62E9"/>
    <w:rsid w:val="00216519"/>
    <w:rsid w:val="0022439C"/>
    <w:rsid w:val="002475CE"/>
    <w:rsid w:val="00251CBD"/>
    <w:rsid w:val="002671C8"/>
    <w:rsid w:val="00273E78"/>
    <w:rsid w:val="00273EAC"/>
    <w:rsid w:val="00280BCB"/>
    <w:rsid w:val="00286AC3"/>
    <w:rsid w:val="00291F17"/>
    <w:rsid w:val="00295A62"/>
    <w:rsid w:val="002A746D"/>
    <w:rsid w:val="002B2595"/>
    <w:rsid w:val="002B7E77"/>
    <w:rsid w:val="002C67ED"/>
    <w:rsid w:val="002C6F5D"/>
    <w:rsid w:val="002D08E0"/>
    <w:rsid w:val="002D112B"/>
    <w:rsid w:val="002D11BA"/>
    <w:rsid w:val="002D6BF0"/>
    <w:rsid w:val="002E1323"/>
    <w:rsid w:val="002E3816"/>
    <w:rsid w:val="002F0328"/>
    <w:rsid w:val="002F216F"/>
    <w:rsid w:val="002F3730"/>
    <w:rsid w:val="002F3FB9"/>
    <w:rsid w:val="002F59EA"/>
    <w:rsid w:val="003040F2"/>
    <w:rsid w:val="003542BA"/>
    <w:rsid w:val="003621CE"/>
    <w:rsid w:val="00381985"/>
    <w:rsid w:val="003935A4"/>
    <w:rsid w:val="00396F34"/>
    <w:rsid w:val="00397CA4"/>
    <w:rsid w:val="003B68D0"/>
    <w:rsid w:val="003D11D4"/>
    <w:rsid w:val="003D4F98"/>
    <w:rsid w:val="003E44D7"/>
    <w:rsid w:val="003E6FFC"/>
    <w:rsid w:val="003F20DC"/>
    <w:rsid w:val="003F4A09"/>
    <w:rsid w:val="004133B9"/>
    <w:rsid w:val="004237E7"/>
    <w:rsid w:val="004330FB"/>
    <w:rsid w:val="00437538"/>
    <w:rsid w:val="00444ACF"/>
    <w:rsid w:val="00460EA0"/>
    <w:rsid w:val="00476859"/>
    <w:rsid w:val="004C0F64"/>
    <w:rsid w:val="004C555F"/>
    <w:rsid w:val="004C7715"/>
    <w:rsid w:val="004E733C"/>
    <w:rsid w:val="004F2ECB"/>
    <w:rsid w:val="004F796E"/>
    <w:rsid w:val="005002A9"/>
    <w:rsid w:val="00500469"/>
    <w:rsid w:val="0052499E"/>
    <w:rsid w:val="00527727"/>
    <w:rsid w:val="00531B6C"/>
    <w:rsid w:val="005607AA"/>
    <w:rsid w:val="00563558"/>
    <w:rsid w:val="005636C4"/>
    <w:rsid w:val="00565040"/>
    <w:rsid w:val="00570569"/>
    <w:rsid w:val="005A5073"/>
    <w:rsid w:val="005A6520"/>
    <w:rsid w:val="005B4A77"/>
    <w:rsid w:val="005D5EC3"/>
    <w:rsid w:val="005E5B80"/>
    <w:rsid w:val="005F262F"/>
    <w:rsid w:val="005F647E"/>
    <w:rsid w:val="005F67C8"/>
    <w:rsid w:val="00611ECD"/>
    <w:rsid w:val="00616B4D"/>
    <w:rsid w:val="006306E8"/>
    <w:rsid w:val="00634EE9"/>
    <w:rsid w:val="006401AD"/>
    <w:rsid w:val="006440B6"/>
    <w:rsid w:val="00655B67"/>
    <w:rsid w:val="00675F3E"/>
    <w:rsid w:val="006776BB"/>
    <w:rsid w:val="006831BB"/>
    <w:rsid w:val="00693DD1"/>
    <w:rsid w:val="006C422F"/>
    <w:rsid w:val="006E387B"/>
    <w:rsid w:val="006E7135"/>
    <w:rsid w:val="006F20A3"/>
    <w:rsid w:val="006F2766"/>
    <w:rsid w:val="00703C49"/>
    <w:rsid w:val="007168D9"/>
    <w:rsid w:val="0072152C"/>
    <w:rsid w:val="00722FA4"/>
    <w:rsid w:val="00732D90"/>
    <w:rsid w:val="007407E3"/>
    <w:rsid w:val="00746C49"/>
    <w:rsid w:val="0075386B"/>
    <w:rsid w:val="00754C06"/>
    <w:rsid w:val="00757930"/>
    <w:rsid w:val="00760028"/>
    <w:rsid w:val="00760CC6"/>
    <w:rsid w:val="00762415"/>
    <w:rsid w:val="00767076"/>
    <w:rsid w:val="007812CA"/>
    <w:rsid w:val="007878F1"/>
    <w:rsid w:val="00790EC4"/>
    <w:rsid w:val="007929F8"/>
    <w:rsid w:val="007A4B9F"/>
    <w:rsid w:val="007A5D3C"/>
    <w:rsid w:val="007A645C"/>
    <w:rsid w:val="007B6F7A"/>
    <w:rsid w:val="007C178E"/>
    <w:rsid w:val="007D18AB"/>
    <w:rsid w:val="007E230C"/>
    <w:rsid w:val="007E2A86"/>
    <w:rsid w:val="007F5D38"/>
    <w:rsid w:val="007F7A2C"/>
    <w:rsid w:val="008056A2"/>
    <w:rsid w:val="0083399D"/>
    <w:rsid w:val="0083428B"/>
    <w:rsid w:val="008346C6"/>
    <w:rsid w:val="00846B6E"/>
    <w:rsid w:val="00862A34"/>
    <w:rsid w:val="00873430"/>
    <w:rsid w:val="00882C6B"/>
    <w:rsid w:val="00883D52"/>
    <w:rsid w:val="008858CF"/>
    <w:rsid w:val="00886652"/>
    <w:rsid w:val="008926CC"/>
    <w:rsid w:val="008A3F80"/>
    <w:rsid w:val="008B6605"/>
    <w:rsid w:val="008C271C"/>
    <w:rsid w:val="008D0901"/>
    <w:rsid w:val="008D0C56"/>
    <w:rsid w:val="008E5877"/>
    <w:rsid w:val="008F0667"/>
    <w:rsid w:val="008F4CCD"/>
    <w:rsid w:val="0090331B"/>
    <w:rsid w:val="00906A71"/>
    <w:rsid w:val="0091788D"/>
    <w:rsid w:val="00953D76"/>
    <w:rsid w:val="009572C6"/>
    <w:rsid w:val="00965BCC"/>
    <w:rsid w:val="009734BC"/>
    <w:rsid w:val="00973A22"/>
    <w:rsid w:val="00975E24"/>
    <w:rsid w:val="00982286"/>
    <w:rsid w:val="0099264C"/>
    <w:rsid w:val="009A3D19"/>
    <w:rsid w:val="009A6032"/>
    <w:rsid w:val="009B50D4"/>
    <w:rsid w:val="009D3234"/>
    <w:rsid w:val="009E2008"/>
    <w:rsid w:val="009F26C0"/>
    <w:rsid w:val="00A04C78"/>
    <w:rsid w:val="00A05AC7"/>
    <w:rsid w:val="00A07899"/>
    <w:rsid w:val="00A11856"/>
    <w:rsid w:val="00A2281E"/>
    <w:rsid w:val="00A23D53"/>
    <w:rsid w:val="00A305AD"/>
    <w:rsid w:val="00A31438"/>
    <w:rsid w:val="00A41C68"/>
    <w:rsid w:val="00A51A9E"/>
    <w:rsid w:val="00A547B6"/>
    <w:rsid w:val="00A60CEC"/>
    <w:rsid w:val="00A73B6A"/>
    <w:rsid w:val="00A74CD9"/>
    <w:rsid w:val="00A77B96"/>
    <w:rsid w:val="00A91DD7"/>
    <w:rsid w:val="00AA1241"/>
    <w:rsid w:val="00AA5A55"/>
    <w:rsid w:val="00AC34B6"/>
    <w:rsid w:val="00AE0D7F"/>
    <w:rsid w:val="00AF3693"/>
    <w:rsid w:val="00B15F6E"/>
    <w:rsid w:val="00B23A3E"/>
    <w:rsid w:val="00B27345"/>
    <w:rsid w:val="00B34AB7"/>
    <w:rsid w:val="00B55DD2"/>
    <w:rsid w:val="00B658F4"/>
    <w:rsid w:val="00B854B8"/>
    <w:rsid w:val="00B87294"/>
    <w:rsid w:val="00B9579C"/>
    <w:rsid w:val="00BB5491"/>
    <w:rsid w:val="00BB7CBD"/>
    <w:rsid w:val="00BD49D4"/>
    <w:rsid w:val="00BE39E5"/>
    <w:rsid w:val="00BE7C52"/>
    <w:rsid w:val="00C00E25"/>
    <w:rsid w:val="00C07726"/>
    <w:rsid w:val="00C1446D"/>
    <w:rsid w:val="00C22DA8"/>
    <w:rsid w:val="00C25EBA"/>
    <w:rsid w:val="00C34E69"/>
    <w:rsid w:val="00C650A4"/>
    <w:rsid w:val="00C72A23"/>
    <w:rsid w:val="00C81181"/>
    <w:rsid w:val="00C84286"/>
    <w:rsid w:val="00C84597"/>
    <w:rsid w:val="00C913AF"/>
    <w:rsid w:val="00C92106"/>
    <w:rsid w:val="00CB2275"/>
    <w:rsid w:val="00CC2B45"/>
    <w:rsid w:val="00CE135D"/>
    <w:rsid w:val="00CE578D"/>
    <w:rsid w:val="00CE7782"/>
    <w:rsid w:val="00D02AD3"/>
    <w:rsid w:val="00D03B4A"/>
    <w:rsid w:val="00D06FCA"/>
    <w:rsid w:val="00D1138A"/>
    <w:rsid w:val="00D15884"/>
    <w:rsid w:val="00D16EAA"/>
    <w:rsid w:val="00D4653C"/>
    <w:rsid w:val="00D510B7"/>
    <w:rsid w:val="00D52EF8"/>
    <w:rsid w:val="00D54D93"/>
    <w:rsid w:val="00D55028"/>
    <w:rsid w:val="00D55C35"/>
    <w:rsid w:val="00D5732A"/>
    <w:rsid w:val="00D57FA7"/>
    <w:rsid w:val="00D60F64"/>
    <w:rsid w:val="00D722EE"/>
    <w:rsid w:val="00D75A01"/>
    <w:rsid w:val="00D84948"/>
    <w:rsid w:val="00DA3569"/>
    <w:rsid w:val="00DA7CC6"/>
    <w:rsid w:val="00DC32DE"/>
    <w:rsid w:val="00DD702A"/>
    <w:rsid w:val="00DE0AF8"/>
    <w:rsid w:val="00DE5A3D"/>
    <w:rsid w:val="00DF0A67"/>
    <w:rsid w:val="00DF3815"/>
    <w:rsid w:val="00DF4C7F"/>
    <w:rsid w:val="00DF5070"/>
    <w:rsid w:val="00E05130"/>
    <w:rsid w:val="00E25D84"/>
    <w:rsid w:val="00E423A9"/>
    <w:rsid w:val="00E44169"/>
    <w:rsid w:val="00E54238"/>
    <w:rsid w:val="00E6035E"/>
    <w:rsid w:val="00E634E9"/>
    <w:rsid w:val="00E72FAE"/>
    <w:rsid w:val="00E730EC"/>
    <w:rsid w:val="00E90091"/>
    <w:rsid w:val="00E93B8F"/>
    <w:rsid w:val="00E95A4F"/>
    <w:rsid w:val="00E96543"/>
    <w:rsid w:val="00EA1F0B"/>
    <w:rsid w:val="00EC42F5"/>
    <w:rsid w:val="00EC4525"/>
    <w:rsid w:val="00EC57E2"/>
    <w:rsid w:val="00EC73DE"/>
    <w:rsid w:val="00EC768E"/>
    <w:rsid w:val="00EC7D42"/>
    <w:rsid w:val="00ED21FB"/>
    <w:rsid w:val="00EE4A32"/>
    <w:rsid w:val="00EE7B7A"/>
    <w:rsid w:val="00EF7862"/>
    <w:rsid w:val="00F03F39"/>
    <w:rsid w:val="00F04CEF"/>
    <w:rsid w:val="00F11884"/>
    <w:rsid w:val="00F119B0"/>
    <w:rsid w:val="00F356FD"/>
    <w:rsid w:val="00F53318"/>
    <w:rsid w:val="00F568F7"/>
    <w:rsid w:val="00F5719E"/>
    <w:rsid w:val="00F75484"/>
    <w:rsid w:val="00F83F41"/>
    <w:rsid w:val="00F856DE"/>
    <w:rsid w:val="00F87B26"/>
    <w:rsid w:val="00F911DC"/>
    <w:rsid w:val="00FA0070"/>
    <w:rsid w:val="00FA5BB3"/>
    <w:rsid w:val="00FD0EBF"/>
    <w:rsid w:val="00FD3AEB"/>
    <w:rsid w:val="00FD5118"/>
    <w:rsid w:val="00FD7E73"/>
    <w:rsid w:val="00FE2A7C"/>
    <w:rsid w:val="00FE474B"/>
    <w:rsid w:val="00FE6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7782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ps">
    <w:name w:val="hps"/>
    <w:rsid w:val="00CE7782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rsid w:val="00CE7782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E7782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CE7782"/>
    <w:rPr>
      <w:rFonts w:cs="Times New Roman"/>
      <w:vertAlign w:val="superscript"/>
    </w:rPr>
  </w:style>
  <w:style w:type="character" w:customStyle="1" w:styleId="shorttext">
    <w:name w:val="short_text"/>
    <w:rsid w:val="00CE7782"/>
    <w:rPr>
      <w:rFonts w:cs="Times New Roman"/>
    </w:rPr>
  </w:style>
  <w:style w:type="paragraph" w:customStyle="1" w:styleId="astandardp10">
    <w:name w:val="a_standard_p10"/>
    <w:basedOn w:val="Normalny"/>
    <w:rsid w:val="00FA007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astandardp15">
    <w:name w:val="a_standard_p15"/>
    <w:basedOn w:val="Normalny"/>
    <w:rsid w:val="00FA007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at1">
    <w:name w:val="a__t1"/>
    <w:basedOn w:val="Domylnaczcionkaakapitu"/>
    <w:rsid w:val="00FA0070"/>
  </w:style>
  <w:style w:type="character" w:customStyle="1" w:styleId="at6">
    <w:name w:val="a__t6"/>
    <w:basedOn w:val="Domylnaczcionkaakapitu"/>
    <w:rsid w:val="00FA0070"/>
  </w:style>
  <w:style w:type="paragraph" w:customStyle="1" w:styleId="TekstpodstUE">
    <w:name w:val="Tekst podst. (UE)"/>
    <w:basedOn w:val="Normalny"/>
    <w:next w:val="Normalny"/>
    <w:qFormat/>
    <w:rsid w:val="00DF5070"/>
    <w:pPr>
      <w:spacing w:after="0" w:line="260" w:lineRule="atLeast"/>
      <w:jc w:val="both"/>
    </w:pPr>
    <w:rPr>
      <w:rFonts w:ascii="Times New Roman" w:hAnsi="Times New Roman"/>
      <w:spacing w:val="-2"/>
    </w:rPr>
  </w:style>
  <w:style w:type="paragraph" w:styleId="Akapitzlist">
    <w:name w:val="List Paragraph"/>
    <w:basedOn w:val="Normalny"/>
    <w:uiPriority w:val="34"/>
    <w:qFormat/>
    <w:rsid w:val="002D11BA"/>
    <w:pPr>
      <w:ind w:left="720"/>
      <w:contextualSpacing/>
    </w:pPr>
  </w:style>
  <w:style w:type="paragraph" w:customStyle="1" w:styleId="TekstpodstwcityUE">
    <w:name w:val="Tekst podst.::wcięty (UE)"/>
    <w:basedOn w:val="TekstpodstUE"/>
    <w:qFormat/>
    <w:rsid w:val="00E95A4F"/>
    <w:pPr>
      <w:spacing w:after="120"/>
      <w:ind w:firstLine="34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C55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555F"/>
    <w:rPr>
      <w:rFonts w:ascii="Tahoma" w:eastAsia="Times New Roman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043ADF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rsid w:val="00F856DE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F856D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uiPriority w:val="99"/>
    <w:rsid w:val="00F856DE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B54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5491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B54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5491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7782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ps">
    <w:name w:val="hps"/>
    <w:rsid w:val="00CE7782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rsid w:val="00CE7782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E7782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CE7782"/>
    <w:rPr>
      <w:rFonts w:cs="Times New Roman"/>
      <w:vertAlign w:val="superscript"/>
    </w:rPr>
  </w:style>
  <w:style w:type="character" w:customStyle="1" w:styleId="shorttext">
    <w:name w:val="short_text"/>
    <w:rsid w:val="00CE7782"/>
    <w:rPr>
      <w:rFonts w:cs="Times New Roman"/>
    </w:rPr>
  </w:style>
  <w:style w:type="paragraph" w:customStyle="1" w:styleId="astandardp10">
    <w:name w:val="a_standard_p10"/>
    <w:basedOn w:val="Normalny"/>
    <w:rsid w:val="00FA007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astandardp15">
    <w:name w:val="a_standard_p15"/>
    <w:basedOn w:val="Normalny"/>
    <w:rsid w:val="00FA007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at1">
    <w:name w:val="a__t1"/>
    <w:basedOn w:val="Domylnaczcionkaakapitu"/>
    <w:rsid w:val="00FA0070"/>
  </w:style>
  <w:style w:type="character" w:customStyle="1" w:styleId="at6">
    <w:name w:val="a__t6"/>
    <w:basedOn w:val="Domylnaczcionkaakapitu"/>
    <w:rsid w:val="00FA0070"/>
  </w:style>
  <w:style w:type="paragraph" w:customStyle="1" w:styleId="TekstpodstUE">
    <w:name w:val="Tekst podst. (UE)"/>
    <w:basedOn w:val="Normalny"/>
    <w:next w:val="Normalny"/>
    <w:qFormat/>
    <w:rsid w:val="00DF5070"/>
    <w:pPr>
      <w:spacing w:after="0" w:line="260" w:lineRule="atLeast"/>
      <w:jc w:val="both"/>
    </w:pPr>
    <w:rPr>
      <w:rFonts w:ascii="Times New Roman" w:hAnsi="Times New Roman"/>
      <w:spacing w:val="-2"/>
    </w:rPr>
  </w:style>
  <w:style w:type="paragraph" w:styleId="Akapitzlist">
    <w:name w:val="List Paragraph"/>
    <w:basedOn w:val="Normalny"/>
    <w:uiPriority w:val="34"/>
    <w:qFormat/>
    <w:rsid w:val="002D11BA"/>
    <w:pPr>
      <w:ind w:left="720"/>
      <w:contextualSpacing/>
    </w:pPr>
  </w:style>
  <w:style w:type="paragraph" w:customStyle="1" w:styleId="TekstpodstwcityUE">
    <w:name w:val="Tekst podst.::wcięty (UE)"/>
    <w:basedOn w:val="TekstpodstUE"/>
    <w:qFormat/>
    <w:rsid w:val="00E95A4F"/>
    <w:pPr>
      <w:spacing w:after="120"/>
      <w:ind w:firstLine="34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C55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555F"/>
    <w:rPr>
      <w:rFonts w:ascii="Tahoma" w:eastAsia="Times New Roman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043ADF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rsid w:val="00F856DE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F856D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uiPriority w:val="99"/>
    <w:rsid w:val="00F856DE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B54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5491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B54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5491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90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1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8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0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9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282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764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40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30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555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21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940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72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55C87F-8AB9-4545-8033-6BECCF0DC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351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2457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Ptak Piotr</dc:creator>
  <cp:lastModifiedBy>Ptak Piotr</cp:lastModifiedBy>
  <cp:revision>4</cp:revision>
  <cp:lastPrinted>2017-04-26T06:30:00Z</cp:lastPrinted>
  <dcterms:created xsi:type="dcterms:W3CDTF">2017-04-26T07:53:00Z</dcterms:created>
  <dcterms:modified xsi:type="dcterms:W3CDTF">2017-04-26T08:45:00Z</dcterms:modified>
</cp:coreProperties>
</file>