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28" w:rsidRPr="00AD496E" w:rsidRDefault="00D36928" w:rsidP="00D3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>Table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4422">
        <w:rPr>
          <w:rFonts w:ascii="Times New Roman" w:hAnsi="Times New Roman" w:cs="Times New Roman"/>
          <w:sz w:val="24"/>
          <w:szCs w:val="24"/>
          <w:lang w:val="en-US"/>
        </w:rPr>
        <w:t>Demographic data about the groups of s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tudents participating in </w:t>
      </w:r>
      <w:r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1A</w:t>
      </w:r>
      <w:r>
        <w:rPr>
          <w:rFonts w:ascii="Times New Roman" w:hAnsi="Times New Roman" w:cs="Times New Roman"/>
          <w:sz w:val="24"/>
          <w:szCs w:val="24"/>
          <w:lang w:val="en-US"/>
        </w:rPr>
        <w:t>, 1B and 2.</w:t>
      </w:r>
    </w:p>
    <w:tbl>
      <w:tblPr>
        <w:tblStyle w:val="Tabela-Siatka"/>
        <w:tblW w:w="8609" w:type="dxa"/>
        <w:tblLayout w:type="fixed"/>
        <w:tblLook w:val="04A0" w:firstRow="1" w:lastRow="0" w:firstColumn="1" w:lastColumn="0" w:noHBand="0" w:noVBand="1"/>
      </w:tblPr>
      <w:tblGrid>
        <w:gridCol w:w="1612"/>
        <w:gridCol w:w="1720"/>
        <w:gridCol w:w="1319"/>
        <w:gridCol w:w="1298"/>
        <w:gridCol w:w="1340"/>
        <w:gridCol w:w="1320"/>
      </w:tblGrid>
      <w:tr w:rsidR="00D36928" w:rsidRPr="00D36928" w:rsidTr="00D36928">
        <w:trPr>
          <w:trHeight w:val="270"/>
        </w:trPr>
        <w:tc>
          <w:tcPr>
            <w:tcW w:w="1612" w:type="dxa"/>
            <w:vMerge w:val="restart"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Study</w:t>
            </w:r>
          </w:p>
        </w:tc>
        <w:tc>
          <w:tcPr>
            <w:tcW w:w="1720" w:type="dxa"/>
            <w:vMerge w:val="restart"/>
            <w:noWrap/>
            <w:vAlign w:val="bottom"/>
          </w:tcPr>
          <w:p w:rsidR="00D36928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N</w:t>
            </w:r>
          </w:p>
        </w:tc>
        <w:tc>
          <w:tcPr>
            <w:tcW w:w="2617" w:type="dxa"/>
            <w:gridSpan w:val="2"/>
            <w:noWrap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Number of:</w:t>
            </w:r>
          </w:p>
        </w:tc>
        <w:tc>
          <w:tcPr>
            <w:tcW w:w="2660" w:type="dxa"/>
            <w:gridSpan w:val="2"/>
            <w:noWrap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Age</w:t>
            </w:r>
          </w:p>
        </w:tc>
      </w:tr>
      <w:tr w:rsidR="00D36928" w:rsidRPr="00D36928" w:rsidTr="00D36928">
        <w:trPr>
          <w:trHeight w:val="270"/>
        </w:trPr>
        <w:tc>
          <w:tcPr>
            <w:tcW w:w="1612" w:type="dxa"/>
            <w:vMerge/>
          </w:tcPr>
          <w:p w:rsidR="00D36928" w:rsidRPr="00AD496E" w:rsidRDefault="00D36928" w:rsidP="001760B4">
            <w:pPr>
              <w:spacing w:line="360" w:lineRule="auto"/>
              <w:jc w:val="both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</w:p>
        </w:tc>
        <w:tc>
          <w:tcPr>
            <w:tcW w:w="1720" w:type="dxa"/>
            <w:vMerge/>
            <w:noWrap/>
            <w:vAlign w:val="bottom"/>
            <w:hideMark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:rsidR="00D36928" w:rsidRPr="00AD496E" w:rsidRDefault="00DD17DC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W</w:t>
            </w:r>
            <w:r w:rsidR="00D36928"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omen</w:t>
            </w:r>
          </w:p>
        </w:tc>
        <w:tc>
          <w:tcPr>
            <w:tcW w:w="1298" w:type="dxa"/>
            <w:noWrap/>
            <w:vAlign w:val="bottom"/>
            <w:hideMark/>
          </w:tcPr>
          <w:p w:rsidR="00D36928" w:rsidRPr="00AD496E" w:rsidRDefault="00553860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M</w:t>
            </w:r>
            <w:r w:rsidR="00D36928"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en</w:t>
            </w:r>
          </w:p>
        </w:tc>
        <w:tc>
          <w:tcPr>
            <w:tcW w:w="1340" w:type="dxa"/>
            <w:noWrap/>
            <w:vAlign w:val="bottom"/>
            <w:hideMark/>
          </w:tcPr>
          <w:p w:rsidR="00D36928" w:rsidRPr="00AD496E" w:rsidRDefault="00684422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M</w:t>
            </w:r>
            <w:r w:rsidR="00D36928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ean</w:t>
            </w:r>
          </w:p>
        </w:tc>
        <w:tc>
          <w:tcPr>
            <w:tcW w:w="1320" w:type="dxa"/>
            <w:noWrap/>
            <w:vAlign w:val="bottom"/>
            <w:hideMark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std. dev.</w:t>
            </w:r>
          </w:p>
        </w:tc>
      </w:tr>
      <w:tr w:rsidR="00D36928" w:rsidRPr="00D36928" w:rsidTr="00D36928">
        <w:trPr>
          <w:trHeight w:val="270"/>
        </w:trPr>
        <w:tc>
          <w:tcPr>
            <w:tcW w:w="1612" w:type="dxa"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1A</w:t>
            </w:r>
          </w:p>
        </w:tc>
        <w:tc>
          <w:tcPr>
            <w:tcW w:w="1720" w:type="dxa"/>
            <w:noWrap/>
            <w:vAlign w:val="bottom"/>
            <w:hideMark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58</w:t>
            </w:r>
          </w:p>
        </w:tc>
        <w:tc>
          <w:tcPr>
            <w:tcW w:w="1319" w:type="dxa"/>
            <w:noWrap/>
            <w:vAlign w:val="bottom"/>
            <w:hideMark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18</w:t>
            </w:r>
          </w:p>
        </w:tc>
        <w:tc>
          <w:tcPr>
            <w:tcW w:w="1298" w:type="dxa"/>
            <w:noWrap/>
            <w:vAlign w:val="bottom"/>
            <w:hideMark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40</w:t>
            </w:r>
          </w:p>
        </w:tc>
        <w:tc>
          <w:tcPr>
            <w:tcW w:w="1340" w:type="dxa"/>
            <w:noWrap/>
            <w:vAlign w:val="bottom"/>
            <w:hideMark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22,57</w:t>
            </w:r>
          </w:p>
        </w:tc>
        <w:tc>
          <w:tcPr>
            <w:tcW w:w="1320" w:type="dxa"/>
            <w:noWrap/>
            <w:vAlign w:val="bottom"/>
            <w:hideMark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3,24</w:t>
            </w:r>
          </w:p>
        </w:tc>
      </w:tr>
      <w:tr w:rsidR="00D36928" w:rsidRPr="00D36928" w:rsidTr="00D36928">
        <w:trPr>
          <w:trHeight w:val="270"/>
        </w:trPr>
        <w:tc>
          <w:tcPr>
            <w:tcW w:w="1612" w:type="dxa"/>
            <w:vAlign w:val="bottom"/>
          </w:tcPr>
          <w:p w:rsidR="00D36928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1B &amp; 2</w:t>
            </w:r>
          </w:p>
        </w:tc>
        <w:tc>
          <w:tcPr>
            <w:tcW w:w="1720" w:type="dxa"/>
            <w:noWrap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66</w:t>
            </w:r>
          </w:p>
        </w:tc>
        <w:tc>
          <w:tcPr>
            <w:tcW w:w="1319" w:type="dxa"/>
            <w:noWrap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21</w:t>
            </w:r>
          </w:p>
        </w:tc>
        <w:tc>
          <w:tcPr>
            <w:tcW w:w="1298" w:type="dxa"/>
            <w:noWrap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45</w:t>
            </w:r>
          </w:p>
        </w:tc>
        <w:tc>
          <w:tcPr>
            <w:tcW w:w="1340" w:type="dxa"/>
            <w:noWrap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22,29</w:t>
            </w:r>
          </w:p>
        </w:tc>
        <w:tc>
          <w:tcPr>
            <w:tcW w:w="1320" w:type="dxa"/>
            <w:noWrap/>
            <w:vAlign w:val="bottom"/>
          </w:tcPr>
          <w:p w:rsidR="00D36928" w:rsidRPr="00AD496E" w:rsidRDefault="00D36928" w:rsidP="00D36928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</w:pPr>
            <w:r w:rsidRPr="00AD496E">
              <w:rPr>
                <w:rFonts w:ascii="Czcionka tekstu podstawowego" w:eastAsia="Times New Roman" w:hAnsi="Czcionka tekstu podstawowego" w:cs="Times New Roman"/>
                <w:color w:val="000000"/>
                <w:lang w:val="en-US" w:eastAsia="ja-JP"/>
              </w:rPr>
              <w:t>2,90</w:t>
            </w:r>
          </w:p>
        </w:tc>
      </w:tr>
    </w:tbl>
    <w:p w:rsidR="0068249D" w:rsidRDefault="0068249D" w:rsidP="00682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Source: authors’ own study.</w:t>
      </w:r>
    </w:p>
    <w:p w:rsidR="0097203C" w:rsidRPr="00AD496E" w:rsidRDefault="0097203C" w:rsidP="00721F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84422" w:rsidRPr="00AD496E" w:rsidRDefault="00684422" w:rsidP="006844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1 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DAX index time series. Red dots represents the timing of </w:t>
      </w:r>
      <w:r w:rsidR="00276DB6" w:rsidRPr="00AD496E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1A, while the green line – study 2B </w:t>
      </w:r>
    </w:p>
    <w:p w:rsidR="00684422" w:rsidRPr="00AD496E" w:rsidRDefault="00684422" w:rsidP="00684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7432" cy="4236720"/>
            <wp:effectExtent l="19050" t="0" r="0" b="0"/>
            <wp:docPr id="1" name="Obraz 0" descr="D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432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422" w:rsidRPr="00AD496E" w:rsidRDefault="00684422" w:rsidP="006844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4422" w:rsidRPr="00AD496E" w:rsidRDefault="00684422" w:rsidP="006844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2 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>WIG index time series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Red dots represents the timing of </w:t>
      </w:r>
      <w:r w:rsidR="00276DB6" w:rsidRPr="00AD496E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1A, while the green line – study 2B</w:t>
      </w:r>
    </w:p>
    <w:p w:rsidR="00684422" w:rsidRPr="00AD496E" w:rsidRDefault="00684422" w:rsidP="00684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37432" cy="4236720"/>
            <wp:effectExtent l="19050" t="0" r="0" b="0"/>
            <wp:docPr id="2" name="Obraz 1" descr="W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432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DD4" w:rsidRDefault="003C5DD4" w:rsidP="00DD17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14AC" w:rsidRPr="00AD496E" w:rsidRDefault="00CC14AC" w:rsidP="00CC14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3 Example of the time series presented to the students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Study</w:t>
      </w: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 </w:t>
      </w:r>
    </w:p>
    <w:p w:rsidR="00CC14AC" w:rsidRPr="00AD496E" w:rsidRDefault="00CC14AC" w:rsidP="00CC14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0720" cy="2300605"/>
            <wp:effectExtent l="19050" t="0" r="0" b="0"/>
            <wp:docPr id="4" name="Obraz 2" descr="figure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1_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4AC" w:rsidRPr="00AD496E" w:rsidRDefault="00CC14AC" w:rsidP="00684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75D8" w:rsidRPr="00AD496E" w:rsidRDefault="00D422A4" w:rsidP="006427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075D8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4BDA" w:rsidRPr="00AD496E" w:rsidRDefault="00694A52" w:rsidP="00BD5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2</w:t>
      </w:r>
      <w:r w:rsidR="0015338D"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338D" w:rsidRPr="00BD5B57">
        <w:rPr>
          <w:rFonts w:ascii="Times New Roman" w:hAnsi="Times New Roman" w:cs="Times New Roman"/>
          <w:sz w:val="24"/>
          <w:szCs w:val="24"/>
          <w:lang w:val="en-US"/>
        </w:rPr>
        <w:t>Correlation of:</w:t>
      </w:r>
      <w:r w:rsidR="0015338D"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338D" w:rsidRPr="00AD496E">
        <w:rPr>
          <w:rFonts w:ascii="Times New Roman" w:hAnsi="Times New Roman" w:cs="Times New Roman"/>
          <w:sz w:val="24"/>
          <w:szCs w:val="24"/>
          <w:lang w:val="en-US"/>
        </w:rPr>
        <w:t>absolute values of</w:t>
      </w:r>
      <w:r w:rsidR="0015338D"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338D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correlation </w:t>
      </w:r>
      <w:r w:rsidR="00BE1A09" w:rsidRPr="00AD496E">
        <w:rPr>
          <w:rFonts w:ascii="Times New Roman" w:hAnsi="Times New Roman" w:cs="Times New Roman"/>
          <w:sz w:val="24"/>
          <w:szCs w:val="24"/>
          <w:lang w:val="en-US"/>
        </w:rPr>
        <w:t>coefficients</w:t>
      </w:r>
      <w:r w:rsidR="0015338D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between observed trend and forecasted value (RR), the period of the trend considered in forecasting (PER.), average time used for preparation of forecasts (TI</w:t>
      </w:r>
      <w:r w:rsidR="00BD5B57">
        <w:rPr>
          <w:rFonts w:ascii="Times New Roman" w:hAnsi="Times New Roman" w:cs="Times New Roman"/>
          <w:sz w:val="24"/>
          <w:szCs w:val="24"/>
          <w:lang w:val="en-US"/>
        </w:rPr>
        <w:t>ME) and the psychological trait</w:t>
      </w:r>
      <w:r w:rsidR="0015338D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measured by Need for Cognitive Closure</w:t>
      </w:r>
      <w:r w:rsidR="007305ED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subscales</w:t>
      </w:r>
      <w:r w:rsidR="0015338D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tests (</w:t>
      </w:r>
      <w:r w:rsidR="00BD5B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D5B57" w:rsidRPr="00BD5B57">
        <w:rPr>
          <w:rFonts w:ascii="Times New Roman" w:hAnsi="Times New Roman" w:cs="Times New Roman"/>
          <w:sz w:val="24"/>
          <w:szCs w:val="24"/>
          <w:lang w:val="en-US"/>
        </w:rPr>
        <w:t xml:space="preserve">reference for order and structure </w:t>
      </w:r>
      <w:r w:rsidR="00BD5B57">
        <w:rPr>
          <w:rFonts w:ascii="Times New Roman" w:hAnsi="Times New Roman" w:cs="Times New Roman"/>
          <w:sz w:val="24"/>
          <w:szCs w:val="24"/>
          <w:lang w:val="en-US"/>
        </w:rPr>
        <w:t>OP, d</w:t>
      </w:r>
      <w:r w:rsidR="00BD5B57" w:rsidRPr="00BD5B57">
        <w:rPr>
          <w:rFonts w:ascii="Times New Roman" w:hAnsi="Times New Roman" w:cs="Times New Roman"/>
          <w:sz w:val="24"/>
          <w:szCs w:val="24"/>
          <w:lang w:val="en-US"/>
        </w:rPr>
        <w:t xml:space="preserve">esire for predictability </w:t>
      </w:r>
      <w:r w:rsidR="00BD5B57">
        <w:rPr>
          <w:rFonts w:ascii="Times New Roman" w:hAnsi="Times New Roman" w:cs="Times New Roman"/>
          <w:sz w:val="24"/>
          <w:szCs w:val="24"/>
          <w:lang w:val="en-US"/>
        </w:rPr>
        <w:t>FP, discomfort with ambiguity MI, close-mindedness CC, decisiveness BD)</w:t>
      </w:r>
      <w:r w:rsidR="007305ED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EF57D0"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 w:rsidR="007305ED" w:rsidRPr="00AD49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1A</w:t>
      </w:r>
      <w:r w:rsidR="0015338D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7"/>
        <w:gridCol w:w="633"/>
        <w:gridCol w:w="633"/>
        <w:gridCol w:w="705"/>
        <w:gridCol w:w="633"/>
        <w:gridCol w:w="633"/>
        <w:gridCol w:w="705"/>
        <w:gridCol w:w="633"/>
        <w:gridCol w:w="633"/>
        <w:gridCol w:w="633"/>
        <w:gridCol w:w="633"/>
        <w:gridCol w:w="633"/>
      </w:tblGrid>
      <w:tr w:rsidR="00F00C2A" w:rsidRPr="00AD496E" w:rsidTr="00F00C2A">
        <w:trPr>
          <w:trHeight w:val="285"/>
        </w:trPr>
        <w:tc>
          <w:tcPr>
            <w:tcW w:w="0" w:type="auto"/>
            <w:vMerge w:val="restart"/>
            <w:noWrap/>
            <w:vAlign w:val="bottom"/>
          </w:tcPr>
          <w:p w:rsidR="00F00C2A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Study</w:t>
            </w:r>
          </w:p>
          <w:p w:rsidR="00F00C2A" w:rsidRPr="009B7628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1A</w:t>
            </w:r>
          </w:p>
        </w:tc>
        <w:tc>
          <w:tcPr>
            <w:tcW w:w="0" w:type="auto"/>
            <w:gridSpan w:val="3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DAX</w:t>
            </w:r>
          </w:p>
        </w:tc>
        <w:tc>
          <w:tcPr>
            <w:tcW w:w="0" w:type="auto"/>
            <w:gridSpan w:val="3"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WIG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OP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FP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MI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CC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BD</w:t>
            </w:r>
          </w:p>
        </w:tc>
      </w:tr>
      <w:tr w:rsidR="00F00C2A" w:rsidRPr="00AD496E" w:rsidTr="00975243">
        <w:trPr>
          <w:trHeight w:val="285"/>
        </w:trPr>
        <w:tc>
          <w:tcPr>
            <w:tcW w:w="0" w:type="auto"/>
            <w:vMerge/>
            <w:noWrap/>
            <w:hideMark/>
          </w:tcPr>
          <w:p w:rsidR="00F00C2A" w:rsidRPr="00F00C2A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  <w:vMerge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</w:tr>
      <w:tr w:rsidR="00F00C2A" w:rsidRPr="00AD496E" w:rsidTr="00975243">
        <w:trPr>
          <w:trHeight w:val="340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-0,18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0,09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0,14</w:t>
            </w:r>
          </w:p>
        </w:tc>
      </w:tr>
      <w:tr w:rsidR="00F00C2A" w:rsidRPr="00AD496E" w:rsidTr="00975243">
        <w:trPr>
          <w:trHeight w:val="340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0,11</w:t>
            </w:r>
          </w:p>
        </w:tc>
      </w:tr>
      <w:tr w:rsidR="00F00C2A" w:rsidRPr="00AD496E" w:rsidTr="00975243">
        <w:trPr>
          <w:trHeight w:val="340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0,14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0,17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0,04</w:t>
            </w:r>
          </w:p>
        </w:tc>
      </w:tr>
      <w:tr w:rsidR="00F00C2A" w:rsidRPr="00AD496E" w:rsidTr="00975243">
        <w:trPr>
          <w:trHeight w:val="340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OP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-0,02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-0,09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0,47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-0,02</w:t>
            </w:r>
          </w:p>
        </w:tc>
      </w:tr>
      <w:tr w:rsidR="00F00C2A" w:rsidRPr="00AD496E" w:rsidTr="00975243">
        <w:trPr>
          <w:trHeight w:val="340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FP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-0,24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-0,05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0,01</w:t>
            </w:r>
          </w:p>
        </w:tc>
        <w:tc>
          <w:tcPr>
            <w:tcW w:w="0" w:type="auto"/>
            <w:noWrap/>
            <w:hideMark/>
          </w:tcPr>
          <w:p w:rsidR="00F00C2A" w:rsidRPr="00215E2B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215E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0,64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</w:tr>
      <w:tr w:rsidR="00F00C2A" w:rsidRPr="00AD496E" w:rsidTr="00975243">
        <w:trPr>
          <w:trHeight w:val="340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MI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-0,18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-0,03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-0,19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-0,03</w:t>
            </w:r>
          </w:p>
        </w:tc>
        <w:tc>
          <w:tcPr>
            <w:tcW w:w="0" w:type="auto"/>
            <w:noWrap/>
            <w:hideMark/>
          </w:tcPr>
          <w:p w:rsidR="00F00C2A" w:rsidRPr="00215E2B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215E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0,47</w:t>
            </w:r>
          </w:p>
        </w:tc>
        <w:tc>
          <w:tcPr>
            <w:tcW w:w="0" w:type="auto"/>
            <w:noWrap/>
            <w:hideMark/>
          </w:tcPr>
          <w:p w:rsidR="00F00C2A" w:rsidRPr="00215E2B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215E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0,64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-0,18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-0,16</w:t>
            </w:r>
          </w:p>
        </w:tc>
      </w:tr>
      <w:tr w:rsidR="00F00C2A" w:rsidRPr="00AD496E" w:rsidTr="00975243">
        <w:trPr>
          <w:trHeight w:val="340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0,09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0,04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-0,18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0,25</w:t>
            </w:r>
          </w:p>
        </w:tc>
      </w:tr>
      <w:tr w:rsidR="00F00C2A" w:rsidRPr="00AD496E" w:rsidTr="00975243">
        <w:trPr>
          <w:trHeight w:val="340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BD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0,04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-0,17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0,16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-0,16</w:t>
            </w:r>
          </w:p>
        </w:tc>
        <w:tc>
          <w:tcPr>
            <w:tcW w:w="0" w:type="auto"/>
            <w:noWrap/>
            <w:hideMark/>
          </w:tcPr>
          <w:p w:rsidR="00F00C2A" w:rsidRPr="002941BC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2941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0,25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</w:tr>
    </w:tbl>
    <w:p w:rsidR="00495324" w:rsidRDefault="00495324" w:rsidP="00BE1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Legend: </w:t>
      </w:r>
      <w:r w:rsidR="00276DB6" w:rsidRPr="002941BC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Pr="00294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values of correlation coefficient are bold (p-value&lt;0,05). Source: authors’ own study.</w:t>
      </w:r>
    </w:p>
    <w:p w:rsidR="00DE1A13" w:rsidRPr="00AD496E" w:rsidRDefault="00495324" w:rsidP="00BE1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A3568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E1A13"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E1A13" w:rsidRPr="00495324">
        <w:rPr>
          <w:rFonts w:ascii="Times New Roman" w:hAnsi="Times New Roman" w:cs="Times New Roman"/>
          <w:sz w:val="24"/>
          <w:szCs w:val="24"/>
          <w:lang w:val="en-US"/>
        </w:rPr>
        <w:t>Correlation of: absolute</w:t>
      </w:r>
      <w:r w:rsidR="00DE1A13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values of</w:t>
      </w:r>
      <w:r w:rsidR="00DE1A13"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E1A13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correlation </w:t>
      </w:r>
      <w:r w:rsidR="00BE1A09" w:rsidRPr="00AD496E">
        <w:rPr>
          <w:rFonts w:ascii="Times New Roman" w:hAnsi="Times New Roman" w:cs="Times New Roman"/>
          <w:sz w:val="24"/>
          <w:szCs w:val="24"/>
          <w:lang w:val="en-US"/>
        </w:rPr>
        <w:t>coefficients</w:t>
      </w:r>
      <w:r w:rsidR="00DE1A13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between observed trend and forecasted value (RR), the period of the trend considered in forecasting (PER.), average time used for preparation of forecasts (TIME) and the 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psychological trait</w:t>
      </w:r>
      <w:r w:rsidR="00D62015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measured by Need for Cognitive Closure subscales tests (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62015" w:rsidRPr="00BD5B57">
        <w:rPr>
          <w:rFonts w:ascii="Times New Roman" w:hAnsi="Times New Roman" w:cs="Times New Roman"/>
          <w:sz w:val="24"/>
          <w:szCs w:val="24"/>
          <w:lang w:val="en-US"/>
        </w:rPr>
        <w:t xml:space="preserve">reference for order and structure 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OP, d</w:t>
      </w:r>
      <w:r w:rsidR="00D62015" w:rsidRPr="00BD5B57">
        <w:rPr>
          <w:rFonts w:ascii="Times New Roman" w:hAnsi="Times New Roman" w:cs="Times New Roman"/>
          <w:sz w:val="24"/>
          <w:szCs w:val="24"/>
          <w:lang w:val="en-US"/>
        </w:rPr>
        <w:t xml:space="preserve">esire for predictability 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FP, discomfort with ambiguity MI, close-mindedness CC, decisiveness BD)</w:t>
      </w:r>
      <w:r w:rsidR="00D62015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A13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F57D0"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 w:rsidR="00DE1A13" w:rsidRPr="00AD49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1B</w:t>
      </w:r>
      <w:r w:rsidR="00DE1A13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7"/>
        <w:gridCol w:w="633"/>
        <w:gridCol w:w="633"/>
        <w:gridCol w:w="705"/>
        <w:gridCol w:w="633"/>
        <w:gridCol w:w="633"/>
        <w:gridCol w:w="705"/>
        <w:gridCol w:w="633"/>
        <w:gridCol w:w="633"/>
        <w:gridCol w:w="633"/>
        <w:gridCol w:w="633"/>
        <w:gridCol w:w="633"/>
      </w:tblGrid>
      <w:tr w:rsidR="00F00C2A" w:rsidRPr="00495324" w:rsidTr="00F00C2A">
        <w:trPr>
          <w:trHeight w:val="285"/>
        </w:trPr>
        <w:tc>
          <w:tcPr>
            <w:tcW w:w="0" w:type="auto"/>
            <w:vMerge w:val="restart"/>
            <w:noWrap/>
          </w:tcPr>
          <w:p w:rsidR="00F00C2A" w:rsidRPr="009B7628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9B76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 xml:space="preserve">Study </w:t>
            </w:r>
          </w:p>
          <w:p w:rsidR="00F00C2A" w:rsidRPr="009B7628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9B76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B</w:t>
            </w:r>
          </w:p>
        </w:tc>
        <w:tc>
          <w:tcPr>
            <w:tcW w:w="0" w:type="auto"/>
            <w:gridSpan w:val="3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DAX</w:t>
            </w:r>
          </w:p>
        </w:tc>
        <w:tc>
          <w:tcPr>
            <w:tcW w:w="0" w:type="auto"/>
            <w:gridSpan w:val="3"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WIG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OP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FP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MI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CC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BD</w:t>
            </w:r>
          </w:p>
        </w:tc>
      </w:tr>
      <w:tr w:rsidR="00F00C2A" w:rsidRPr="00495324" w:rsidTr="00F00C2A">
        <w:trPr>
          <w:trHeight w:val="285"/>
        </w:trPr>
        <w:tc>
          <w:tcPr>
            <w:tcW w:w="0" w:type="auto"/>
            <w:vMerge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  <w:noWrap/>
            <w:vAlign w:val="bottom"/>
            <w:hideMark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  <w:noWrap/>
            <w:vAlign w:val="bottom"/>
            <w:hideMark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  <w:vAlign w:val="bottom"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  <w:vMerge/>
            <w:noWrap/>
            <w:vAlign w:val="bottom"/>
            <w:hideMark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vAlign w:val="bottom"/>
            <w:hideMark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vAlign w:val="bottom"/>
            <w:hideMark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vAlign w:val="bottom"/>
            <w:hideMark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vAlign w:val="bottom"/>
            <w:hideMark/>
          </w:tcPr>
          <w:p w:rsidR="00F00C2A" w:rsidRPr="00AD496E" w:rsidRDefault="00F00C2A" w:rsidP="00F00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</w:tr>
      <w:tr w:rsidR="00F00C2A" w:rsidRPr="00495324" w:rsidTr="00503E6C">
        <w:trPr>
          <w:trHeight w:val="285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0,15</w:t>
            </w:r>
          </w:p>
        </w:tc>
      </w:tr>
      <w:tr w:rsidR="00F00C2A" w:rsidRPr="00AD496E" w:rsidTr="00503E6C">
        <w:trPr>
          <w:trHeight w:val="285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-0,04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-0,22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0,07</w:t>
            </w:r>
          </w:p>
        </w:tc>
      </w:tr>
      <w:tr w:rsidR="00F00C2A" w:rsidRPr="00AD496E" w:rsidTr="00503E6C">
        <w:trPr>
          <w:trHeight w:val="285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0,12</w:t>
            </w:r>
          </w:p>
        </w:tc>
        <w:tc>
          <w:tcPr>
            <w:tcW w:w="0" w:type="auto"/>
          </w:tcPr>
          <w:p w:rsidR="00F00C2A" w:rsidRPr="00AD496E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-0,09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-0,29</w:t>
            </w:r>
          </w:p>
        </w:tc>
      </w:tr>
      <w:tr w:rsidR="00F00C2A" w:rsidRPr="00AD496E" w:rsidTr="00503E6C">
        <w:trPr>
          <w:trHeight w:val="285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OP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0,21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-0,01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-0,05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0,55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0,42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0,12</w:t>
            </w:r>
          </w:p>
        </w:tc>
      </w:tr>
      <w:tr w:rsidR="00F00C2A" w:rsidRPr="00AD496E" w:rsidTr="00503E6C">
        <w:trPr>
          <w:trHeight w:val="285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FP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-0,09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0,02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</w:t>
            </w:r>
          </w:p>
        </w:tc>
        <w:tc>
          <w:tcPr>
            <w:tcW w:w="0" w:type="auto"/>
            <w:noWrap/>
            <w:hideMark/>
          </w:tcPr>
          <w:p w:rsidR="00F00C2A" w:rsidRPr="00525240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0,55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0,52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-0,05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-0,04</w:t>
            </w:r>
          </w:p>
        </w:tc>
      </w:tr>
      <w:tr w:rsidR="00F00C2A" w:rsidRPr="00AD496E" w:rsidTr="00503E6C">
        <w:trPr>
          <w:trHeight w:val="285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MI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0,06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0,25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-0,25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0,07</w:t>
            </w:r>
          </w:p>
        </w:tc>
        <w:tc>
          <w:tcPr>
            <w:tcW w:w="0" w:type="auto"/>
            <w:noWrap/>
            <w:hideMark/>
          </w:tcPr>
          <w:p w:rsidR="00F00C2A" w:rsidRPr="00525240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0,42</w:t>
            </w:r>
          </w:p>
        </w:tc>
        <w:tc>
          <w:tcPr>
            <w:tcW w:w="0" w:type="auto"/>
            <w:noWrap/>
            <w:hideMark/>
          </w:tcPr>
          <w:p w:rsidR="00F00C2A" w:rsidRPr="00525240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0,52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-0,25</w:t>
            </w:r>
          </w:p>
        </w:tc>
      </w:tr>
      <w:tr w:rsidR="00F00C2A" w:rsidRPr="00AD496E" w:rsidTr="00503E6C">
        <w:trPr>
          <w:trHeight w:val="285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-0,03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0,03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-0,11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-0,07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-0,13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-0,05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-0,06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0,11</w:t>
            </w:r>
          </w:p>
        </w:tc>
      </w:tr>
      <w:tr w:rsidR="00F00C2A" w:rsidRPr="00AD496E" w:rsidTr="00503E6C">
        <w:trPr>
          <w:trHeight w:val="285"/>
        </w:trPr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BD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0,15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0,07</w:t>
            </w:r>
          </w:p>
        </w:tc>
        <w:tc>
          <w:tcPr>
            <w:tcW w:w="0" w:type="auto"/>
            <w:noWrap/>
            <w:hideMark/>
          </w:tcPr>
          <w:p w:rsidR="00F00C2A" w:rsidRPr="00525240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-0,29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-0,08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0,09</w:t>
            </w:r>
          </w:p>
        </w:tc>
        <w:tc>
          <w:tcPr>
            <w:tcW w:w="0" w:type="auto"/>
          </w:tcPr>
          <w:p w:rsidR="00F00C2A" w:rsidRPr="00525240" w:rsidRDefault="00F00C2A" w:rsidP="00F00C2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-0,3</w:t>
            </w:r>
          </w:p>
        </w:tc>
        <w:tc>
          <w:tcPr>
            <w:tcW w:w="0" w:type="auto"/>
            <w:noWrap/>
            <w:hideMark/>
          </w:tcPr>
          <w:p w:rsidR="00F00C2A" w:rsidRPr="00525240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0,12</w:t>
            </w:r>
          </w:p>
        </w:tc>
        <w:tc>
          <w:tcPr>
            <w:tcW w:w="0" w:type="auto"/>
            <w:noWrap/>
            <w:hideMark/>
          </w:tcPr>
          <w:p w:rsidR="00F00C2A" w:rsidRPr="00525240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-0,04</w:t>
            </w:r>
          </w:p>
        </w:tc>
        <w:tc>
          <w:tcPr>
            <w:tcW w:w="0" w:type="auto"/>
            <w:noWrap/>
            <w:hideMark/>
          </w:tcPr>
          <w:p w:rsidR="00F00C2A" w:rsidRPr="00525240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525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-0,25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0,11</w:t>
            </w:r>
          </w:p>
        </w:tc>
        <w:tc>
          <w:tcPr>
            <w:tcW w:w="0" w:type="auto"/>
            <w:noWrap/>
            <w:hideMark/>
          </w:tcPr>
          <w:p w:rsidR="00F00C2A" w:rsidRPr="00AD496E" w:rsidRDefault="00F00C2A" w:rsidP="00F00C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</w:tr>
    </w:tbl>
    <w:p w:rsidR="00495324" w:rsidRDefault="00E95CF1" w:rsidP="004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sz w:val="24"/>
          <w:szCs w:val="24"/>
          <w:lang w:val="en-US"/>
        </w:rPr>
        <w:lastRenderedPageBreak/>
        <w:br w:type="textWrapping" w:clear="all"/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 xml:space="preserve">Legend: </w:t>
      </w:r>
      <w:r w:rsidR="00276DB6" w:rsidRPr="002941BC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D62015" w:rsidRPr="00294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values of correlation coefficient are bold (p-value&lt;0,05).</w:t>
      </w:r>
      <w:r w:rsidR="00495324">
        <w:rPr>
          <w:rFonts w:ascii="Times New Roman" w:hAnsi="Times New Roman" w:cs="Times New Roman"/>
          <w:sz w:val="24"/>
          <w:szCs w:val="24"/>
          <w:lang w:val="en-US"/>
        </w:rPr>
        <w:t xml:space="preserve"> Source: authors’ own study.</w:t>
      </w:r>
    </w:p>
    <w:p w:rsidR="00070AB0" w:rsidRDefault="00A35680" w:rsidP="00BE1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4</w:t>
      </w:r>
      <w:r w:rsidR="0049532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070AB0"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0AB0" w:rsidRPr="00495324">
        <w:rPr>
          <w:rFonts w:ascii="Times New Roman" w:hAnsi="Times New Roman" w:cs="Times New Roman"/>
          <w:sz w:val="24"/>
          <w:szCs w:val="24"/>
          <w:lang w:val="en-US"/>
        </w:rPr>
        <w:t>One sided pvalues of estimated correlation coefficients between abs</w:t>
      </w:r>
      <w:r w:rsidR="00070AB0" w:rsidRPr="00AD496E">
        <w:rPr>
          <w:rFonts w:ascii="Times New Roman" w:hAnsi="Times New Roman" w:cs="Times New Roman"/>
          <w:sz w:val="24"/>
          <w:szCs w:val="24"/>
          <w:lang w:val="en-US"/>
        </w:rPr>
        <w:t>olute values of</w:t>
      </w:r>
      <w:r w:rsidR="00070AB0"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0AB0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correlation </w:t>
      </w:r>
      <w:r w:rsidR="00BE1A09" w:rsidRPr="00AD496E">
        <w:rPr>
          <w:rFonts w:ascii="Times New Roman" w:hAnsi="Times New Roman" w:cs="Times New Roman"/>
          <w:sz w:val="24"/>
          <w:szCs w:val="24"/>
          <w:lang w:val="en-US"/>
        </w:rPr>
        <w:t>coefficients</w:t>
      </w:r>
      <w:r w:rsidR="00070AB0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between observed trend and forecasted value and Need for Cognitive Closure subscales tests (NFC) for </w:t>
      </w:r>
      <w:r w:rsidR="00AA19D4">
        <w:rPr>
          <w:rFonts w:ascii="Times New Roman" w:hAnsi="Times New Roman" w:cs="Times New Roman"/>
          <w:i/>
          <w:sz w:val="24"/>
          <w:szCs w:val="24"/>
          <w:lang w:val="en-US"/>
        </w:rPr>
        <w:t>studies</w:t>
      </w:r>
      <w:r w:rsidR="00070AB0" w:rsidRPr="00AD49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A1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1A and </w:t>
      </w:r>
      <w:r w:rsidR="00070AB0" w:rsidRPr="00AD496E">
        <w:rPr>
          <w:rFonts w:ascii="Times New Roman" w:hAnsi="Times New Roman" w:cs="Times New Roman"/>
          <w:i/>
          <w:sz w:val="24"/>
          <w:szCs w:val="24"/>
          <w:lang w:val="en-US"/>
        </w:rPr>
        <w:t>1B</w:t>
      </w:r>
      <w:r w:rsidR="00070AB0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45"/>
        <w:gridCol w:w="1643"/>
        <w:gridCol w:w="1643"/>
        <w:gridCol w:w="1644"/>
        <w:gridCol w:w="1643"/>
        <w:gridCol w:w="1644"/>
      </w:tblGrid>
      <w:tr w:rsidR="00D62015" w:rsidRPr="00AD496E" w:rsidTr="00AA19D4">
        <w:trPr>
          <w:trHeight w:val="300"/>
        </w:trPr>
        <w:tc>
          <w:tcPr>
            <w:tcW w:w="845" w:type="dxa"/>
            <w:vAlign w:val="bottom"/>
          </w:tcPr>
          <w:p w:rsidR="00D62015" w:rsidRDefault="00AA19D4" w:rsidP="00AA1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1643" w:type="dxa"/>
            <w:noWrap/>
            <w:vAlign w:val="bottom"/>
            <w:hideMark/>
          </w:tcPr>
          <w:p w:rsidR="00D62015" w:rsidRPr="00AD496E" w:rsidRDefault="00D62015" w:rsidP="00AA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D5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 for order and structure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</w:p>
        </w:tc>
        <w:tc>
          <w:tcPr>
            <w:tcW w:w="1643" w:type="dxa"/>
            <w:noWrap/>
            <w:vAlign w:val="bottom"/>
            <w:hideMark/>
          </w:tcPr>
          <w:p w:rsidR="00D62015" w:rsidRPr="00AD496E" w:rsidRDefault="00D62015" w:rsidP="00AA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esire for predictability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</w:t>
            </w:r>
          </w:p>
        </w:tc>
        <w:tc>
          <w:tcPr>
            <w:tcW w:w="1644" w:type="dxa"/>
            <w:noWrap/>
            <w:vAlign w:val="bottom"/>
            <w:hideMark/>
          </w:tcPr>
          <w:p w:rsidR="00D62015" w:rsidRPr="00AD496E" w:rsidRDefault="00D62015" w:rsidP="00AA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discomfort with ambiguity MI</w:t>
            </w:r>
          </w:p>
        </w:tc>
        <w:tc>
          <w:tcPr>
            <w:tcW w:w="1643" w:type="dxa"/>
            <w:noWrap/>
            <w:vAlign w:val="bottom"/>
            <w:hideMark/>
          </w:tcPr>
          <w:p w:rsidR="00D62015" w:rsidRPr="00AD496E" w:rsidRDefault="00D62015" w:rsidP="00AA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close-mindedness CC</w:t>
            </w:r>
          </w:p>
        </w:tc>
        <w:tc>
          <w:tcPr>
            <w:tcW w:w="1644" w:type="dxa"/>
            <w:noWrap/>
            <w:vAlign w:val="bottom"/>
            <w:hideMark/>
          </w:tcPr>
          <w:p w:rsidR="00D62015" w:rsidRPr="00AD496E" w:rsidRDefault="00D62015" w:rsidP="00AA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decisiveness BD</w:t>
            </w:r>
          </w:p>
        </w:tc>
      </w:tr>
      <w:tr w:rsidR="00AA19D4" w:rsidRPr="00AD496E" w:rsidTr="00D62015">
        <w:trPr>
          <w:trHeight w:val="300"/>
        </w:trPr>
        <w:tc>
          <w:tcPr>
            <w:tcW w:w="845" w:type="dxa"/>
          </w:tcPr>
          <w:p w:rsidR="00AA19D4" w:rsidRPr="00AD496E" w:rsidRDefault="00AA19D4" w:rsidP="00AA1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1A</w:t>
            </w:r>
          </w:p>
        </w:tc>
        <w:tc>
          <w:tcPr>
            <w:tcW w:w="1643" w:type="dxa"/>
            <w:noWrap/>
          </w:tcPr>
          <w:p w:rsidR="00AA19D4" w:rsidRPr="00AD496E" w:rsidRDefault="00AA19D4" w:rsidP="00AA1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0,0443</w:t>
            </w:r>
          </w:p>
        </w:tc>
        <w:tc>
          <w:tcPr>
            <w:tcW w:w="1643" w:type="dxa"/>
            <w:noWrap/>
          </w:tcPr>
          <w:p w:rsidR="00AA19D4" w:rsidRPr="00AD496E" w:rsidRDefault="00AA19D4" w:rsidP="00AA1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0,0561</w:t>
            </w:r>
          </w:p>
        </w:tc>
        <w:tc>
          <w:tcPr>
            <w:tcW w:w="1644" w:type="dxa"/>
            <w:noWrap/>
          </w:tcPr>
          <w:p w:rsidR="00AA19D4" w:rsidRPr="00AD496E" w:rsidRDefault="00AA19D4" w:rsidP="00AA1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0,0796</w:t>
            </w:r>
          </w:p>
        </w:tc>
        <w:tc>
          <w:tcPr>
            <w:tcW w:w="1643" w:type="dxa"/>
            <w:noWrap/>
          </w:tcPr>
          <w:p w:rsidR="00AA19D4" w:rsidRPr="00AD496E" w:rsidRDefault="00AA19D4" w:rsidP="00AA1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0,3413</w:t>
            </w:r>
          </w:p>
        </w:tc>
        <w:tc>
          <w:tcPr>
            <w:tcW w:w="1644" w:type="dxa"/>
            <w:noWrap/>
          </w:tcPr>
          <w:p w:rsidR="00AA19D4" w:rsidRPr="00AD496E" w:rsidRDefault="00AA19D4" w:rsidP="00AA1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0,169</w:t>
            </w:r>
          </w:p>
        </w:tc>
      </w:tr>
      <w:tr w:rsidR="00D62015" w:rsidRPr="00AD496E" w:rsidTr="00D62015">
        <w:trPr>
          <w:trHeight w:val="300"/>
        </w:trPr>
        <w:tc>
          <w:tcPr>
            <w:tcW w:w="845" w:type="dxa"/>
          </w:tcPr>
          <w:p w:rsidR="00D62015" w:rsidRPr="00AD496E" w:rsidRDefault="00AA19D4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1B</w:t>
            </w:r>
          </w:p>
        </w:tc>
        <w:tc>
          <w:tcPr>
            <w:tcW w:w="1643" w:type="dxa"/>
            <w:noWrap/>
            <w:hideMark/>
          </w:tcPr>
          <w:p w:rsidR="00D62015" w:rsidRPr="00AD496E" w:rsidRDefault="00D62015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0,1081</w:t>
            </w:r>
          </w:p>
        </w:tc>
        <w:tc>
          <w:tcPr>
            <w:tcW w:w="1643" w:type="dxa"/>
            <w:noWrap/>
            <w:hideMark/>
          </w:tcPr>
          <w:p w:rsidR="00D62015" w:rsidRPr="00AD496E" w:rsidRDefault="00D62015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0,9553</w:t>
            </w:r>
          </w:p>
        </w:tc>
        <w:tc>
          <w:tcPr>
            <w:tcW w:w="1644" w:type="dxa"/>
            <w:noWrap/>
            <w:hideMark/>
          </w:tcPr>
          <w:p w:rsidR="00D62015" w:rsidRPr="00AD496E" w:rsidRDefault="00D62015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0,0894</w:t>
            </w:r>
          </w:p>
        </w:tc>
        <w:tc>
          <w:tcPr>
            <w:tcW w:w="1643" w:type="dxa"/>
            <w:noWrap/>
            <w:hideMark/>
          </w:tcPr>
          <w:p w:rsidR="00D62015" w:rsidRPr="00AD496E" w:rsidRDefault="00D62015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0,5202</w:t>
            </w:r>
          </w:p>
        </w:tc>
        <w:tc>
          <w:tcPr>
            <w:tcW w:w="1644" w:type="dxa"/>
            <w:noWrap/>
            <w:hideMark/>
          </w:tcPr>
          <w:p w:rsidR="00D62015" w:rsidRPr="00AD496E" w:rsidRDefault="00D62015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0,3424</w:t>
            </w:r>
          </w:p>
        </w:tc>
      </w:tr>
    </w:tbl>
    <w:p w:rsidR="00495324" w:rsidRDefault="00495324" w:rsidP="004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Source: authors’ own study.</w:t>
      </w:r>
    </w:p>
    <w:p w:rsidR="00111B8B" w:rsidRPr="00AD496E" w:rsidRDefault="00A35680" w:rsidP="00BE1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5</w:t>
      </w:r>
      <w:r w:rsidR="0049532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0554D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Number of local optima (minimum or maximum) for different parameters of the Alexander filter as well as total rate of return in the period considered.</w:t>
      </w:r>
    </w:p>
    <w:tbl>
      <w:tblPr>
        <w:tblStyle w:val="Tabela-Siatka"/>
        <w:tblW w:w="683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430"/>
      </w:tblGrid>
      <w:tr w:rsidR="0080554D" w:rsidRPr="00495324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Exp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20%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10%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5%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2,5%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</w:tr>
      <w:tr w:rsidR="0080554D" w:rsidRPr="00495324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18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22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0,29</w:t>
            </w:r>
          </w:p>
        </w:tc>
      </w:tr>
      <w:tr w:rsidR="0080554D" w:rsidRPr="00495324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21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29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-0,5</w:t>
            </w:r>
          </w:p>
        </w:tc>
      </w:tr>
      <w:tr w:rsidR="0080554D" w:rsidRPr="00495324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44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0,08</w:t>
            </w:r>
          </w:p>
        </w:tc>
      </w:tr>
      <w:tr w:rsidR="0080554D" w:rsidRPr="00495324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19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-1,12</w:t>
            </w:r>
          </w:p>
        </w:tc>
      </w:tr>
      <w:tr w:rsidR="0080554D" w:rsidRPr="00495324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31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1,08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34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0,01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26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0,05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12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26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0,92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33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-0,35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21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-0,73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11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19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27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0,28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12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11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32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0,29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45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1,05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16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34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1,36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57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0,35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16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45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1,05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16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34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1,36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18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57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0,35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19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45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1,05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20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16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24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34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1,36</w:t>
            </w:r>
          </w:p>
        </w:tc>
      </w:tr>
      <w:tr w:rsidR="0080554D" w:rsidRPr="00AD496E" w:rsidTr="0080554D">
        <w:trPr>
          <w:trHeight w:val="285"/>
        </w:trPr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21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33</w:t>
            </w:r>
          </w:p>
        </w:tc>
        <w:tc>
          <w:tcPr>
            <w:tcW w:w="108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57</w:t>
            </w:r>
          </w:p>
        </w:tc>
        <w:tc>
          <w:tcPr>
            <w:tcW w:w="1430" w:type="dxa"/>
            <w:noWrap/>
            <w:hideMark/>
          </w:tcPr>
          <w:p w:rsidR="0080554D" w:rsidRPr="00AD496E" w:rsidRDefault="0080554D" w:rsidP="00BE1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0,35</w:t>
            </w:r>
          </w:p>
        </w:tc>
      </w:tr>
    </w:tbl>
    <w:p w:rsidR="00495324" w:rsidRDefault="00495324" w:rsidP="004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Source: authors’ own study.</w:t>
      </w:r>
    </w:p>
    <w:p w:rsidR="00810EAC" w:rsidRPr="00AD496E" w:rsidRDefault="00810EAC" w:rsidP="00BE1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554D" w:rsidRPr="00AD496E" w:rsidRDefault="0080554D" w:rsidP="00BE1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A3568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9532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18E3">
        <w:rPr>
          <w:rFonts w:ascii="Times New Roman" w:hAnsi="Times New Roman" w:cs="Times New Roman"/>
          <w:sz w:val="24"/>
          <w:szCs w:val="24"/>
          <w:lang w:val="en-US"/>
        </w:rPr>
        <w:t>Correlation of: absolute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values of</w:t>
      </w:r>
      <w:r w:rsidRPr="00AD4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correlation </w:t>
      </w:r>
      <w:r w:rsidR="00BE1A09" w:rsidRPr="00AD496E">
        <w:rPr>
          <w:rFonts w:ascii="Times New Roman" w:hAnsi="Times New Roman" w:cs="Times New Roman"/>
          <w:sz w:val="24"/>
          <w:szCs w:val="24"/>
          <w:lang w:val="en-US"/>
        </w:rPr>
        <w:t>coefficients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between observed trend and forecasted value (RR), the period of the trend considered in forecasting (PER.), average time used for preparation of forecasts (TIME) and the 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psychological trait</w:t>
      </w:r>
      <w:r w:rsidR="00D62015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measured by Need for Cognitive Closure subscales tests (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62015" w:rsidRPr="00BD5B57">
        <w:rPr>
          <w:rFonts w:ascii="Times New Roman" w:hAnsi="Times New Roman" w:cs="Times New Roman"/>
          <w:sz w:val="24"/>
          <w:szCs w:val="24"/>
          <w:lang w:val="en-US"/>
        </w:rPr>
        <w:t xml:space="preserve">reference for order and structure 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OP, d</w:t>
      </w:r>
      <w:r w:rsidR="00D62015" w:rsidRPr="00BD5B57">
        <w:rPr>
          <w:rFonts w:ascii="Times New Roman" w:hAnsi="Times New Roman" w:cs="Times New Roman"/>
          <w:sz w:val="24"/>
          <w:szCs w:val="24"/>
          <w:lang w:val="en-US"/>
        </w:rPr>
        <w:t xml:space="preserve">esire for predictability </w:t>
      </w:r>
      <w:r w:rsidR="00D62015">
        <w:rPr>
          <w:rFonts w:ascii="Times New Roman" w:hAnsi="Times New Roman" w:cs="Times New Roman"/>
          <w:sz w:val="24"/>
          <w:szCs w:val="24"/>
          <w:lang w:val="en-US"/>
        </w:rPr>
        <w:t>FP, discomfort with ambiguity MI, close-mindedness CC, decisiveness BD)</w:t>
      </w:r>
      <w:r w:rsidR="00D62015"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F57D0"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 w:rsidRPr="00AD49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"/>
        <w:gridCol w:w="633"/>
        <w:gridCol w:w="633"/>
        <w:gridCol w:w="705"/>
        <w:gridCol w:w="633"/>
        <w:gridCol w:w="633"/>
        <w:gridCol w:w="705"/>
        <w:gridCol w:w="633"/>
        <w:gridCol w:w="633"/>
        <w:gridCol w:w="633"/>
        <w:gridCol w:w="633"/>
        <w:gridCol w:w="633"/>
      </w:tblGrid>
      <w:tr w:rsidR="0086280D" w:rsidRPr="00495324" w:rsidTr="0086280D">
        <w:trPr>
          <w:trHeight w:val="285"/>
        </w:trPr>
        <w:tc>
          <w:tcPr>
            <w:tcW w:w="0" w:type="auto"/>
            <w:vMerge w:val="restart"/>
            <w:noWrap/>
          </w:tcPr>
          <w:p w:rsidR="0086280D" w:rsidRDefault="0086280D" w:rsidP="00FC3E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Pr="00AD49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</w:t>
            </w:r>
            <w:r w:rsidRPr="00AD4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6280D" w:rsidRDefault="0086280D" w:rsidP="00FC3E9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:rsidR="0086280D" w:rsidRPr="00AD496E" w:rsidRDefault="0086280D" w:rsidP="008628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sideway trend</w:t>
            </w:r>
          </w:p>
        </w:tc>
        <w:tc>
          <w:tcPr>
            <w:tcW w:w="0" w:type="auto"/>
            <w:gridSpan w:val="3"/>
            <w:vAlign w:val="bottom"/>
          </w:tcPr>
          <w:p w:rsidR="0086280D" w:rsidRPr="00AD496E" w:rsidRDefault="0086280D" w:rsidP="008628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AD4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down trend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86280D" w:rsidRPr="00AD496E" w:rsidRDefault="0086280D" w:rsidP="008628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OP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86280D" w:rsidRPr="00AD496E" w:rsidRDefault="0086280D" w:rsidP="008628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FP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86280D" w:rsidRPr="00AD496E" w:rsidRDefault="0086280D" w:rsidP="008628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MI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86280D" w:rsidRPr="00AD496E" w:rsidRDefault="0086280D" w:rsidP="008628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CC</w:t>
            </w:r>
          </w:p>
        </w:tc>
        <w:tc>
          <w:tcPr>
            <w:tcW w:w="0" w:type="auto"/>
            <w:vMerge w:val="restart"/>
            <w:noWrap/>
            <w:vAlign w:val="bottom"/>
          </w:tcPr>
          <w:p w:rsidR="0086280D" w:rsidRPr="00AD496E" w:rsidRDefault="0086280D" w:rsidP="008628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BD</w:t>
            </w:r>
          </w:p>
        </w:tc>
      </w:tr>
      <w:tr w:rsidR="0086280D" w:rsidRPr="00495324" w:rsidTr="000D7952">
        <w:trPr>
          <w:trHeight w:val="285"/>
        </w:trPr>
        <w:tc>
          <w:tcPr>
            <w:tcW w:w="0" w:type="auto"/>
            <w:vMerge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  <w:vMerge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0" w:type="auto"/>
            <w:vMerge/>
            <w:noWrap/>
            <w:hideMark/>
          </w:tcPr>
          <w:p w:rsidR="0086280D" w:rsidRPr="00AD496E" w:rsidRDefault="0086280D" w:rsidP="008628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</w:p>
        </w:tc>
      </w:tr>
      <w:tr w:rsidR="00FC3E90" w:rsidRPr="00495324" w:rsidTr="000D7952">
        <w:trPr>
          <w:trHeight w:val="285"/>
        </w:trPr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RR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0,23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0,64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-0,44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-0,03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0,15</w:t>
            </w:r>
          </w:p>
        </w:tc>
      </w:tr>
      <w:tr w:rsidR="00FC3E90" w:rsidRPr="00AD496E" w:rsidTr="000D7952">
        <w:trPr>
          <w:trHeight w:val="285"/>
        </w:trPr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PER.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0,3</w:t>
            </w:r>
          </w:p>
        </w:tc>
        <w:tc>
          <w:tcPr>
            <w:tcW w:w="0" w:type="auto"/>
          </w:tcPr>
          <w:p w:rsidR="00FC3E90" w:rsidRPr="009C2031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9C2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0,64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-0,04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0,51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0,17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-0,11</w:t>
            </w:r>
          </w:p>
        </w:tc>
      </w:tr>
      <w:tr w:rsidR="00FC3E90" w:rsidRPr="00AD496E" w:rsidTr="000D7952">
        <w:trPr>
          <w:trHeight w:val="285"/>
        </w:trPr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0,23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0,3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-0,14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-0,04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-0,29</w:t>
            </w:r>
          </w:p>
        </w:tc>
      </w:tr>
      <w:tr w:rsidR="00FC3E90" w:rsidRPr="00AD496E" w:rsidTr="000D7952">
        <w:trPr>
          <w:trHeight w:val="285"/>
        </w:trPr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OP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-0,02</w:t>
            </w:r>
          </w:p>
        </w:tc>
        <w:tc>
          <w:tcPr>
            <w:tcW w:w="0" w:type="auto"/>
            <w:noWrap/>
            <w:hideMark/>
          </w:tcPr>
          <w:p w:rsidR="00FC3E90" w:rsidRPr="009C2031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9C2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0,51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0,22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0,27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0,28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0,56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0,42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-0,15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0,14</w:t>
            </w:r>
          </w:p>
        </w:tc>
      </w:tr>
      <w:tr w:rsidR="00FC3E90" w:rsidRPr="00AD496E" w:rsidTr="000D7952">
        <w:trPr>
          <w:trHeight w:val="285"/>
        </w:trPr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FP</w:t>
            </w:r>
          </w:p>
        </w:tc>
        <w:tc>
          <w:tcPr>
            <w:tcW w:w="0" w:type="auto"/>
            <w:noWrap/>
            <w:hideMark/>
          </w:tcPr>
          <w:p w:rsidR="00FC3E90" w:rsidRPr="009C2031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9C2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-0,44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0,17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-0,12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-0,09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0,04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0,09</w:t>
            </w:r>
          </w:p>
        </w:tc>
        <w:tc>
          <w:tcPr>
            <w:tcW w:w="0" w:type="auto"/>
            <w:noWrap/>
            <w:hideMark/>
          </w:tcPr>
          <w:p w:rsidR="00FC3E90" w:rsidRPr="00A21894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A21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0,56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0,53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-0,07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-0,06</w:t>
            </w:r>
          </w:p>
        </w:tc>
      </w:tr>
      <w:tr w:rsidR="00FC3E90" w:rsidRPr="00AD496E" w:rsidTr="000D7952">
        <w:trPr>
          <w:trHeight w:val="285"/>
        </w:trPr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MI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-0,05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-0,01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0,28</w:t>
            </w:r>
          </w:p>
        </w:tc>
        <w:tc>
          <w:tcPr>
            <w:tcW w:w="0" w:type="auto"/>
            <w:noWrap/>
            <w:hideMark/>
          </w:tcPr>
          <w:p w:rsidR="00FC3E90" w:rsidRPr="009C2031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9C2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0,42</w:t>
            </w:r>
          </w:p>
        </w:tc>
        <w:tc>
          <w:tcPr>
            <w:tcW w:w="0" w:type="auto"/>
            <w:noWrap/>
            <w:hideMark/>
          </w:tcPr>
          <w:p w:rsidR="00FC3E90" w:rsidRPr="00A21894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A21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0,53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-0,06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-0,25</w:t>
            </w:r>
          </w:p>
        </w:tc>
      </w:tr>
      <w:tr w:rsidR="00FC3E90" w:rsidRPr="00AD496E" w:rsidTr="000D7952">
        <w:trPr>
          <w:trHeight w:val="285"/>
        </w:trPr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-0,03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0,2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0,11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-0,07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0,02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-0,15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-0,07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-0,06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0,05</w:t>
            </w:r>
          </w:p>
        </w:tc>
      </w:tr>
      <w:tr w:rsidR="00FC3E90" w:rsidRPr="00AD496E" w:rsidTr="000D7952">
        <w:trPr>
          <w:trHeight w:val="285"/>
        </w:trPr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BD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0,15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-0,11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-0,29</w:t>
            </w:r>
          </w:p>
        </w:tc>
        <w:tc>
          <w:tcPr>
            <w:tcW w:w="0" w:type="auto"/>
          </w:tcPr>
          <w:p w:rsidR="00FC3E90" w:rsidRPr="009C2031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9C2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0,48</w:t>
            </w:r>
          </w:p>
        </w:tc>
        <w:tc>
          <w:tcPr>
            <w:tcW w:w="0" w:type="auto"/>
          </w:tcPr>
          <w:p w:rsidR="00FC3E90" w:rsidRPr="009C2031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9C2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0,49</w:t>
            </w:r>
          </w:p>
        </w:tc>
        <w:tc>
          <w:tcPr>
            <w:tcW w:w="0" w:type="auto"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-0,18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0,14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-0,06</w:t>
            </w:r>
          </w:p>
        </w:tc>
        <w:tc>
          <w:tcPr>
            <w:tcW w:w="0" w:type="auto"/>
            <w:noWrap/>
            <w:hideMark/>
          </w:tcPr>
          <w:p w:rsidR="00FC3E90" w:rsidRPr="00A21894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</w:pPr>
            <w:r w:rsidRPr="00A21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ja-JP"/>
              </w:rPr>
              <w:t>-0,25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0,05</w:t>
            </w:r>
          </w:p>
        </w:tc>
        <w:tc>
          <w:tcPr>
            <w:tcW w:w="0" w:type="auto"/>
            <w:noWrap/>
            <w:hideMark/>
          </w:tcPr>
          <w:p w:rsidR="00FC3E90" w:rsidRPr="00AD496E" w:rsidRDefault="00FC3E90" w:rsidP="00FC3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</w:pPr>
            <w:r w:rsidRPr="00AD4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ja-JP"/>
              </w:rPr>
              <w:t>1</w:t>
            </w:r>
          </w:p>
        </w:tc>
      </w:tr>
    </w:tbl>
    <w:p w:rsidR="00495324" w:rsidRDefault="00D62015" w:rsidP="004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Legend: </w:t>
      </w:r>
      <w:r w:rsidR="00276DB6" w:rsidRPr="002941BC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Pr="00294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values of correlation coefficient are bold (p-value&lt;0,05).</w:t>
      </w:r>
      <w:r w:rsidR="00495324">
        <w:rPr>
          <w:rFonts w:ascii="Times New Roman" w:hAnsi="Times New Roman" w:cs="Times New Roman"/>
          <w:sz w:val="24"/>
          <w:szCs w:val="24"/>
          <w:lang w:val="en-US"/>
        </w:rPr>
        <w:t xml:space="preserve"> Source: authors’ own study.</w:t>
      </w:r>
    </w:p>
    <w:sectPr w:rsidR="00495324" w:rsidSect="00B94A6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34" w:rsidRDefault="002F0034" w:rsidP="00386747">
      <w:pPr>
        <w:spacing w:after="0" w:line="240" w:lineRule="auto"/>
      </w:pPr>
      <w:r>
        <w:separator/>
      </w:r>
    </w:p>
  </w:endnote>
  <w:endnote w:type="continuationSeparator" w:id="0">
    <w:p w:rsidR="002F0034" w:rsidRDefault="002F0034" w:rsidP="0038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057755"/>
      <w:docPartObj>
        <w:docPartGallery w:val="Page Numbers (Bottom of Page)"/>
        <w:docPartUnique/>
      </w:docPartObj>
    </w:sdtPr>
    <w:sdtEndPr/>
    <w:sdtContent>
      <w:p w:rsidR="007D4C6C" w:rsidRDefault="007D4C6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4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4C6C" w:rsidRDefault="007D4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34" w:rsidRDefault="002F0034" w:rsidP="00386747">
      <w:pPr>
        <w:spacing w:after="0" w:line="240" w:lineRule="auto"/>
      </w:pPr>
      <w:r>
        <w:separator/>
      </w:r>
    </w:p>
  </w:footnote>
  <w:footnote w:type="continuationSeparator" w:id="0">
    <w:p w:rsidR="002F0034" w:rsidRDefault="002F0034" w:rsidP="00386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BB2"/>
    <w:multiLevelType w:val="hybridMultilevel"/>
    <w:tmpl w:val="49DAA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727F"/>
    <w:multiLevelType w:val="multilevel"/>
    <w:tmpl w:val="912E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5CAD"/>
    <w:multiLevelType w:val="hybridMultilevel"/>
    <w:tmpl w:val="2352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D206A"/>
    <w:multiLevelType w:val="hybridMultilevel"/>
    <w:tmpl w:val="54B07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7A60"/>
    <w:multiLevelType w:val="multilevel"/>
    <w:tmpl w:val="8654D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C93488"/>
    <w:multiLevelType w:val="multilevel"/>
    <w:tmpl w:val="EFA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C2D09"/>
    <w:multiLevelType w:val="multilevel"/>
    <w:tmpl w:val="EC9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934F3"/>
    <w:multiLevelType w:val="hybridMultilevel"/>
    <w:tmpl w:val="883E1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D54F8"/>
    <w:multiLevelType w:val="multilevel"/>
    <w:tmpl w:val="EFA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B6EBC"/>
    <w:multiLevelType w:val="multilevel"/>
    <w:tmpl w:val="D050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zp059501wpt2aevrf0vz2s1azsat90txfx9&quot;&gt;doktoratold Copy&lt;record-ids&gt;&lt;item&gt;466&lt;/item&gt;&lt;/record-ids&gt;&lt;/item&gt;&lt;/Libraries&gt;"/>
  </w:docVars>
  <w:rsids>
    <w:rsidRoot w:val="001D1107"/>
    <w:rsid w:val="00000C1E"/>
    <w:rsid w:val="000011E6"/>
    <w:rsid w:val="000019E5"/>
    <w:rsid w:val="00025077"/>
    <w:rsid w:val="00032ACB"/>
    <w:rsid w:val="0003629F"/>
    <w:rsid w:val="000524FF"/>
    <w:rsid w:val="00070AB0"/>
    <w:rsid w:val="000753C5"/>
    <w:rsid w:val="00086000"/>
    <w:rsid w:val="000B0B47"/>
    <w:rsid w:val="000D38FD"/>
    <w:rsid w:val="000D49B8"/>
    <w:rsid w:val="000E33EC"/>
    <w:rsid w:val="000E37A5"/>
    <w:rsid w:val="000E55C5"/>
    <w:rsid w:val="00102BE7"/>
    <w:rsid w:val="001031D4"/>
    <w:rsid w:val="00111B8B"/>
    <w:rsid w:val="00123926"/>
    <w:rsid w:val="00127696"/>
    <w:rsid w:val="0013206D"/>
    <w:rsid w:val="00143C13"/>
    <w:rsid w:val="00146E81"/>
    <w:rsid w:val="0015338D"/>
    <w:rsid w:val="0016115E"/>
    <w:rsid w:val="001745EC"/>
    <w:rsid w:val="001760B4"/>
    <w:rsid w:val="00190330"/>
    <w:rsid w:val="001B4A66"/>
    <w:rsid w:val="001C4715"/>
    <w:rsid w:val="001C62CD"/>
    <w:rsid w:val="001D1107"/>
    <w:rsid w:val="001D6D92"/>
    <w:rsid w:val="002054B5"/>
    <w:rsid w:val="00215E2B"/>
    <w:rsid w:val="00220FDA"/>
    <w:rsid w:val="00225739"/>
    <w:rsid w:val="00240DD4"/>
    <w:rsid w:val="00252E86"/>
    <w:rsid w:val="00255C3B"/>
    <w:rsid w:val="00266D59"/>
    <w:rsid w:val="002743F3"/>
    <w:rsid w:val="00276DB6"/>
    <w:rsid w:val="002806D9"/>
    <w:rsid w:val="00285C65"/>
    <w:rsid w:val="0028716B"/>
    <w:rsid w:val="002873F3"/>
    <w:rsid w:val="002941BC"/>
    <w:rsid w:val="002B32DA"/>
    <w:rsid w:val="002D5138"/>
    <w:rsid w:val="002D7A75"/>
    <w:rsid w:val="002E47CC"/>
    <w:rsid w:val="002F0034"/>
    <w:rsid w:val="002F4D31"/>
    <w:rsid w:val="002F5766"/>
    <w:rsid w:val="002F7CA2"/>
    <w:rsid w:val="003117BC"/>
    <w:rsid w:val="00312709"/>
    <w:rsid w:val="0031492A"/>
    <w:rsid w:val="00316D5A"/>
    <w:rsid w:val="00326B09"/>
    <w:rsid w:val="00326B10"/>
    <w:rsid w:val="003349C1"/>
    <w:rsid w:val="00334FA5"/>
    <w:rsid w:val="003379AE"/>
    <w:rsid w:val="0034424B"/>
    <w:rsid w:val="00357ABC"/>
    <w:rsid w:val="003629E7"/>
    <w:rsid w:val="00386747"/>
    <w:rsid w:val="00387D3C"/>
    <w:rsid w:val="00393CEA"/>
    <w:rsid w:val="0039435F"/>
    <w:rsid w:val="003B34B0"/>
    <w:rsid w:val="003C5DD4"/>
    <w:rsid w:val="003D73A5"/>
    <w:rsid w:val="003F1346"/>
    <w:rsid w:val="00405D6A"/>
    <w:rsid w:val="00406B08"/>
    <w:rsid w:val="004078D7"/>
    <w:rsid w:val="00417917"/>
    <w:rsid w:val="00417E78"/>
    <w:rsid w:val="00420021"/>
    <w:rsid w:val="00422AAD"/>
    <w:rsid w:val="00434563"/>
    <w:rsid w:val="0044125D"/>
    <w:rsid w:val="00454159"/>
    <w:rsid w:val="00455D3D"/>
    <w:rsid w:val="004678D4"/>
    <w:rsid w:val="00477681"/>
    <w:rsid w:val="004842B7"/>
    <w:rsid w:val="00490195"/>
    <w:rsid w:val="00495324"/>
    <w:rsid w:val="004A37C7"/>
    <w:rsid w:val="004A60C1"/>
    <w:rsid w:val="004A69B7"/>
    <w:rsid w:val="004A7C76"/>
    <w:rsid w:val="004B25FB"/>
    <w:rsid w:val="004C6CCF"/>
    <w:rsid w:val="004D0C2F"/>
    <w:rsid w:val="004D26F5"/>
    <w:rsid w:val="004D7369"/>
    <w:rsid w:val="004E6304"/>
    <w:rsid w:val="004F121C"/>
    <w:rsid w:val="005106E0"/>
    <w:rsid w:val="00520508"/>
    <w:rsid w:val="00522CF8"/>
    <w:rsid w:val="0052357D"/>
    <w:rsid w:val="005251F1"/>
    <w:rsid w:val="00525240"/>
    <w:rsid w:val="005306A2"/>
    <w:rsid w:val="00533420"/>
    <w:rsid w:val="00542299"/>
    <w:rsid w:val="00542A2A"/>
    <w:rsid w:val="00543443"/>
    <w:rsid w:val="00545EDA"/>
    <w:rsid w:val="00553860"/>
    <w:rsid w:val="00561010"/>
    <w:rsid w:val="005611BB"/>
    <w:rsid w:val="005811B1"/>
    <w:rsid w:val="00590E16"/>
    <w:rsid w:val="005B4631"/>
    <w:rsid w:val="005B4C21"/>
    <w:rsid w:val="005B4E58"/>
    <w:rsid w:val="005C1443"/>
    <w:rsid w:val="005C2ECE"/>
    <w:rsid w:val="005D3371"/>
    <w:rsid w:val="00617682"/>
    <w:rsid w:val="00624618"/>
    <w:rsid w:val="006249F6"/>
    <w:rsid w:val="00635803"/>
    <w:rsid w:val="0063712A"/>
    <w:rsid w:val="00642768"/>
    <w:rsid w:val="00643A11"/>
    <w:rsid w:val="00644E6B"/>
    <w:rsid w:val="00651C91"/>
    <w:rsid w:val="0065450F"/>
    <w:rsid w:val="006549A4"/>
    <w:rsid w:val="00655F2E"/>
    <w:rsid w:val="0068249D"/>
    <w:rsid w:val="00683A62"/>
    <w:rsid w:val="00684422"/>
    <w:rsid w:val="00694A52"/>
    <w:rsid w:val="006C27E1"/>
    <w:rsid w:val="006C6C9E"/>
    <w:rsid w:val="006E02FC"/>
    <w:rsid w:val="006E3E16"/>
    <w:rsid w:val="006E6672"/>
    <w:rsid w:val="006F18E3"/>
    <w:rsid w:val="006F5EAD"/>
    <w:rsid w:val="006F7E5C"/>
    <w:rsid w:val="007075D8"/>
    <w:rsid w:val="00710384"/>
    <w:rsid w:val="007113EF"/>
    <w:rsid w:val="00721FF5"/>
    <w:rsid w:val="0072442B"/>
    <w:rsid w:val="007305ED"/>
    <w:rsid w:val="00737EFC"/>
    <w:rsid w:val="0074386C"/>
    <w:rsid w:val="00750F87"/>
    <w:rsid w:val="00751EEB"/>
    <w:rsid w:val="00753590"/>
    <w:rsid w:val="007579AE"/>
    <w:rsid w:val="00794B1D"/>
    <w:rsid w:val="007952DA"/>
    <w:rsid w:val="007A2C35"/>
    <w:rsid w:val="007A6063"/>
    <w:rsid w:val="007A77CE"/>
    <w:rsid w:val="007B38FC"/>
    <w:rsid w:val="007B3D30"/>
    <w:rsid w:val="007B5487"/>
    <w:rsid w:val="007B7C42"/>
    <w:rsid w:val="007D4C6C"/>
    <w:rsid w:val="007D795B"/>
    <w:rsid w:val="007F7B74"/>
    <w:rsid w:val="0080324B"/>
    <w:rsid w:val="0080554D"/>
    <w:rsid w:val="00806643"/>
    <w:rsid w:val="00810EAC"/>
    <w:rsid w:val="00813481"/>
    <w:rsid w:val="0082248A"/>
    <w:rsid w:val="008327B6"/>
    <w:rsid w:val="00843843"/>
    <w:rsid w:val="00853A9C"/>
    <w:rsid w:val="0086280D"/>
    <w:rsid w:val="00863A52"/>
    <w:rsid w:val="00864B99"/>
    <w:rsid w:val="008755D6"/>
    <w:rsid w:val="008767C9"/>
    <w:rsid w:val="0087772F"/>
    <w:rsid w:val="00880743"/>
    <w:rsid w:val="0088249E"/>
    <w:rsid w:val="008868B8"/>
    <w:rsid w:val="00893B91"/>
    <w:rsid w:val="008A0F6B"/>
    <w:rsid w:val="008C2455"/>
    <w:rsid w:val="008C50DF"/>
    <w:rsid w:val="008F14D3"/>
    <w:rsid w:val="008F3FEA"/>
    <w:rsid w:val="009021E8"/>
    <w:rsid w:val="009044DD"/>
    <w:rsid w:val="0091519F"/>
    <w:rsid w:val="009254AC"/>
    <w:rsid w:val="00930177"/>
    <w:rsid w:val="0094798C"/>
    <w:rsid w:val="0095164E"/>
    <w:rsid w:val="00951FF9"/>
    <w:rsid w:val="009573FF"/>
    <w:rsid w:val="00961FFD"/>
    <w:rsid w:val="0097203C"/>
    <w:rsid w:val="0097313A"/>
    <w:rsid w:val="00974C59"/>
    <w:rsid w:val="00977D86"/>
    <w:rsid w:val="00992D98"/>
    <w:rsid w:val="0099425C"/>
    <w:rsid w:val="00994996"/>
    <w:rsid w:val="009A5757"/>
    <w:rsid w:val="009B7628"/>
    <w:rsid w:val="009C2031"/>
    <w:rsid w:val="009C79CA"/>
    <w:rsid w:val="009E0760"/>
    <w:rsid w:val="00A02C51"/>
    <w:rsid w:val="00A21894"/>
    <w:rsid w:val="00A276F5"/>
    <w:rsid w:val="00A35680"/>
    <w:rsid w:val="00A36BCD"/>
    <w:rsid w:val="00A379D6"/>
    <w:rsid w:val="00A37ABA"/>
    <w:rsid w:val="00A37BC9"/>
    <w:rsid w:val="00A41958"/>
    <w:rsid w:val="00A5203C"/>
    <w:rsid w:val="00A66955"/>
    <w:rsid w:val="00A71CCD"/>
    <w:rsid w:val="00A76218"/>
    <w:rsid w:val="00A77BAF"/>
    <w:rsid w:val="00AA19D4"/>
    <w:rsid w:val="00AB2395"/>
    <w:rsid w:val="00AC1C30"/>
    <w:rsid w:val="00AC390E"/>
    <w:rsid w:val="00AD496E"/>
    <w:rsid w:val="00AE3B8C"/>
    <w:rsid w:val="00AE7F9B"/>
    <w:rsid w:val="00B02169"/>
    <w:rsid w:val="00B2288F"/>
    <w:rsid w:val="00B3076E"/>
    <w:rsid w:val="00B31738"/>
    <w:rsid w:val="00B342F4"/>
    <w:rsid w:val="00B438E4"/>
    <w:rsid w:val="00B4684D"/>
    <w:rsid w:val="00B727DD"/>
    <w:rsid w:val="00B94A6E"/>
    <w:rsid w:val="00B979EB"/>
    <w:rsid w:val="00BB0414"/>
    <w:rsid w:val="00BC4E46"/>
    <w:rsid w:val="00BD5B57"/>
    <w:rsid w:val="00BE1A09"/>
    <w:rsid w:val="00BE2495"/>
    <w:rsid w:val="00BF1D45"/>
    <w:rsid w:val="00BF4176"/>
    <w:rsid w:val="00C23972"/>
    <w:rsid w:val="00C41FB4"/>
    <w:rsid w:val="00C4730B"/>
    <w:rsid w:val="00C519F0"/>
    <w:rsid w:val="00C72BA5"/>
    <w:rsid w:val="00C81AC7"/>
    <w:rsid w:val="00C925B9"/>
    <w:rsid w:val="00CA07E1"/>
    <w:rsid w:val="00CA7EF0"/>
    <w:rsid w:val="00CB7323"/>
    <w:rsid w:val="00CC14AC"/>
    <w:rsid w:val="00CC37F1"/>
    <w:rsid w:val="00CC57DC"/>
    <w:rsid w:val="00CC7F5C"/>
    <w:rsid w:val="00CD170C"/>
    <w:rsid w:val="00CE477A"/>
    <w:rsid w:val="00D06DCF"/>
    <w:rsid w:val="00D11315"/>
    <w:rsid w:val="00D15E52"/>
    <w:rsid w:val="00D227C5"/>
    <w:rsid w:val="00D3222E"/>
    <w:rsid w:val="00D361E6"/>
    <w:rsid w:val="00D36928"/>
    <w:rsid w:val="00D370B1"/>
    <w:rsid w:val="00D37672"/>
    <w:rsid w:val="00D422A4"/>
    <w:rsid w:val="00D4557E"/>
    <w:rsid w:val="00D52FFC"/>
    <w:rsid w:val="00D62015"/>
    <w:rsid w:val="00D65F07"/>
    <w:rsid w:val="00D66AC9"/>
    <w:rsid w:val="00D77615"/>
    <w:rsid w:val="00DA3924"/>
    <w:rsid w:val="00DA7BE8"/>
    <w:rsid w:val="00DB1782"/>
    <w:rsid w:val="00DC003F"/>
    <w:rsid w:val="00DD17DC"/>
    <w:rsid w:val="00DD654E"/>
    <w:rsid w:val="00DD7166"/>
    <w:rsid w:val="00DE1A13"/>
    <w:rsid w:val="00DE50B5"/>
    <w:rsid w:val="00DF64B5"/>
    <w:rsid w:val="00E01E63"/>
    <w:rsid w:val="00E051B9"/>
    <w:rsid w:val="00E06784"/>
    <w:rsid w:val="00E1110F"/>
    <w:rsid w:val="00E256CF"/>
    <w:rsid w:val="00E30AED"/>
    <w:rsid w:val="00E30CBE"/>
    <w:rsid w:val="00E45016"/>
    <w:rsid w:val="00E46B17"/>
    <w:rsid w:val="00E5038C"/>
    <w:rsid w:val="00E90F6C"/>
    <w:rsid w:val="00E95CF1"/>
    <w:rsid w:val="00E97993"/>
    <w:rsid w:val="00EA781F"/>
    <w:rsid w:val="00EB3E2E"/>
    <w:rsid w:val="00ED36A1"/>
    <w:rsid w:val="00EE0DAF"/>
    <w:rsid w:val="00EE328B"/>
    <w:rsid w:val="00EE7CC5"/>
    <w:rsid w:val="00EF1B4F"/>
    <w:rsid w:val="00EF57D0"/>
    <w:rsid w:val="00F00C2A"/>
    <w:rsid w:val="00F12EEF"/>
    <w:rsid w:val="00F215AE"/>
    <w:rsid w:val="00F24EB9"/>
    <w:rsid w:val="00F25F6A"/>
    <w:rsid w:val="00F334A3"/>
    <w:rsid w:val="00F34BDA"/>
    <w:rsid w:val="00F43E80"/>
    <w:rsid w:val="00F505D7"/>
    <w:rsid w:val="00F51FB4"/>
    <w:rsid w:val="00F5485B"/>
    <w:rsid w:val="00F578C1"/>
    <w:rsid w:val="00F60A69"/>
    <w:rsid w:val="00F62FB1"/>
    <w:rsid w:val="00F7555C"/>
    <w:rsid w:val="00F84EDE"/>
    <w:rsid w:val="00FA35A1"/>
    <w:rsid w:val="00FB06D3"/>
    <w:rsid w:val="00FC3E90"/>
    <w:rsid w:val="00FC7DA6"/>
    <w:rsid w:val="00FD7838"/>
    <w:rsid w:val="00FE1E18"/>
    <w:rsid w:val="00FF2BC4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88C53-F780-4C4E-B73A-41113046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ratyslawa">
    <w:name w:val="Bratyslawa"/>
    <w:basedOn w:val="Standardowy"/>
    <w:uiPriority w:val="99"/>
    <w:qFormat/>
    <w:rsid w:val="00E0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Bratyslawa1">
    <w:name w:val="Bratyslawa1"/>
    <w:basedOn w:val="Standardowy"/>
    <w:uiPriority w:val="99"/>
    <w:qFormat/>
    <w:rsid w:val="00E051B9"/>
    <w:pPr>
      <w:spacing w:after="0" w:line="240" w:lineRule="auto"/>
    </w:pPr>
    <w:rPr>
      <w:rFonts w:ascii="Times New Roman" w:eastAsia="Calibri" w:hAnsi="Times New Roman" w:cs="Times New Roman"/>
    </w:rPr>
    <w:tblPr/>
  </w:style>
  <w:style w:type="table" w:customStyle="1" w:styleId="APA">
    <w:name w:val="APA"/>
    <w:basedOn w:val="Jasnecieniowanie1"/>
    <w:uiPriority w:val="99"/>
    <w:qFormat/>
    <w:rsid w:val="0074386C"/>
    <w:rPr>
      <w:sz w:val="20"/>
      <w:szCs w:val="20"/>
      <w:lang w:eastAsia="zh-CN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1">
    <w:name w:val="Jasne cieniowanie1"/>
    <w:basedOn w:val="Standardowy"/>
    <w:uiPriority w:val="60"/>
    <w:rsid w:val="00FB06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30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3017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7E78"/>
    <w:pPr>
      <w:ind w:left="720"/>
      <w:contextualSpacing/>
    </w:pPr>
  </w:style>
  <w:style w:type="character" w:customStyle="1" w:styleId="gcwxi2kcpkb">
    <w:name w:val="gcwxi2kcpkb"/>
    <w:basedOn w:val="Domylnaczcionkaakapitu"/>
    <w:rsid w:val="0095164E"/>
  </w:style>
  <w:style w:type="character" w:customStyle="1" w:styleId="gcwxi2kcpjb">
    <w:name w:val="gcwxi2kcpjb"/>
    <w:basedOn w:val="Domylnaczcionkaakapitu"/>
    <w:rsid w:val="0095164E"/>
  </w:style>
  <w:style w:type="paragraph" w:styleId="Tekstprzypisudolnego">
    <w:name w:val="footnote text"/>
    <w:basedOn w:val="Normalny"/>
    <w:link w:val="TekstprzypisudolnegoZnak"/>
    <w:semiHidden/>
    <w:unhideWhenUsed/>
    <w:rsid w:val="00386747"/>
    <w:pPr>
      <w:spacing w:after="0" w:line="240" w:lineRule="auto"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6747"/>
    <w:rPr>
      <w:rFonts w:eastAsiaTheme="minorEastAsi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38674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72BA5"/>
  </w:style>
  <w:style w:type="character" w:styleId="Uwydatnienie">
    <w:name w:val="Emphasis"/>
    <w:basedOn w:val="Domylnaczcionkaakapitu"/>
    <w:uiPriority w:val="20"/>
    <w:qFormat/>
    <w:rsid w:val="00C72BA5"/>
    <w:rPr>
      <w:i/>
      <w:iCs/>
    </w:rPr>
  </w:style>
  <w:style w:type="character" w:styleId="Hipercze">
    <w:name w:val="Hyperlink"/>
    <w:basedOn w:val="Domylnaczcionkaakapitu"/>
    <w:uiPriority w:val="99"/>
    <w:unhideWhenUsed/>
    <w:rsid w:val="00C72BA5"/>
    <w:rPr>
      <w:color w:val="0000FF"/>
      <w:u w:val="single"/>
    </w:rPr>
  </w:style>
  <w:style w:type="table" w:styleId="Tabela-Siatka">
    <w:name w:val="Table Grid"/>
    <w:basedOn w:val="Standardowy"/>
    <w:uiPriority w:val="59"/>
    <w:rsid w:val="008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D51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696"/>
  </w:style>
  <w:style w:type="paragraph" w:styleId="Stopka">
    <w:name w:val="footer"/>
    <w:basedOn w:val="Normalny"/>
    <w:link w:val="StopkaZnak"/>
    <w:uiPriority w:val="99"/>
    <w:unhideWhenUsed/>
    <w:rsid w:val="0012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696"/>
  </w:style>
  <w:style w:type="character" w:styleId="Odwoaniedokomentarza">
    <w:name w:val="annotation reference"/>
    <w:basedOn w:val="Domylnaczcionkaakapitu"/>
    <w:uiPriority w:val="99"/>
    <w:semiHidden/>
    <w:unhideWhenUsed/>
    <w:rsid w:val="00362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9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9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75C5D-3A3B-4DBC-A56B-074241B6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Ela</cp:lastModifiedBy>
  <cp:revision>3</cp:revision>
  <dcterms:created xsi:type="dcterms:W3CDTF">2017-05-29T16:48:00Z</dcterms:created>
  <dcterms:modified xsi:type="dcterms:W3CDTF">2017-05-29T16:50:00Z</dcterms:modified>
</cp:coreProperties>
</file>