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40" w:rsidRPr="00751B5E" w:rsidRDefault="00751B5E" w:rsidP="00924040">
      <w:pPr>
        <w:spacing w:line="360" w:lineRule="auto"/>
        <w:jc w:val="center"/>
        <w:rPr>
          <w:b/>
          <w:sz w:val="28"/>
          <w:szCs w:val="28"/>
          <w:lang w:val="pl-PL"/>
        </w:rPr>
      </w:pPr>
      <w:r w:rsidRPr="00751B5E">
        <w:rPr>
          <w:b/>
          <w:sz w:val="28"/>
          <w:szCs w:val="28"/>
          <w:lang w:val="pl-PL"/>
        </w:rPr>
        <w:t xml:space="preserve">Własności wybranych miar nierówności opartych na </w:t>
      </w:r>
      <w:proofErr w:type="spellStart"/>
      <w:r w:rsidRPr="00751B5E">
        <w:rPr>
          <w:b/>
          <w:sz w:val="28"/>
          <w:szCs w:val="28"/>
          <w:lang w:val="pl-PL"/>
        </w:rPr>
        <w:t>kwantylach</w:t>
      </w:r>
      <w:proofErr w:type="spellEnd"/>
      <w:r w:rsidRPr="00751B5E">
        <w:rPr>
          <w:b/>
          <w:sz w:val="28"/>
          <w:szCs w:val="28"/>
          <w:lang w:val="pl-PL"/>
        </w:rPr>
        <w:t xml:space="preserve"> i ich zastosowanie do an</w:t>
      </w:r>
      <w:r>
        <w:rPr>
          <w:b/>
          <w:sz w:val="28"/>
          <w:szCs w:val="28"/>
          <w:lang w:val="pl-PL"/>
        </w:rPr>
        <w:t>alizy rozkładu dochodów w Polsc</w:t>
      </w:r>
      <w:r w:rsidRPr="00751B5E">
        <w:rPr>
          <w:b/>
          <w:sz w:val="28"/>
          <w:szCs w:val="28"/>
          <w:lang w:val="pl-PL"/>
        </w:rPr>
        <w:t>e według makr</w:t>
      </w:r>
      <w:r>
        <w:rPr>
          <w:b/>
          <w:sz w:val="28"/>
          <w:szCs w:val="28"/>
          <w:lang w:val="pl-PL"/>
        </w:rPr>
        <w:t>or</w:t>
      </w:r>
      <w:r w:rsidRPr="00751B5E">
        <w:rPr>
          <w:b/>
          <w:sz w:val="28"/>
          <w:szCs w:val="28"/>
          <w:lang w:val="pl-PL"/>
        </w:rPr>
        <w:t xml:space="preserve">egionów </w:t>
      </w:r>
    </w:p>
    <w:p w:rsidR="00924040" w:rsidRPr="00751B5E" w:rsidRDefault="00924040" w:rsidP="00924040">
      <w:pPr>
        <w:spacing w:line="360" w:lineRule="auto"/>
        <w:jc w:val="both"/>
        <w:rPr>
          <w:b/>
          <w:sz w:val="24"/>
          <w:lang w:val="pl-PL"/>
        </w:rPr>
      </w:pPr>
    </w:p>
    <w:p w:rsidR="00924040" w:rsidRPr="00751B5E" w:rsidRDefault="00924040" w:rsidP="00924040">
      <w:pPr>
        <w:spacing w:line="360" w:lineRule="auto"/>
        <w:jc w:val="both"/>
        <w:rPr>
          <w:rStyle w:val="AbstractHeader"/>
          <w:b w:val="0"/>
          <w:sz w:val="24"/>
          <w:lang w:val="pl-PL"/>
        </w:rPr>
      </w:pPr>
    </w:p>
    <w:p w:rsidR="00751B5E" w:rsidRDefault="00751B5E" w:rsidP="00751B5E">
      <w:pPr>
        <w:spacing w:line="360" w:lineRule="auto"/>
        <w:jc w:val="both"/>
        <w:rPr>
          <w:b/>
          <w:szCs w:val="20"/>
          <w:lang w:val="en-GB"/>
        </w:rPr>
      </w:pPr>
      <w:proofErr w:type="spellStart"/>
      <w:r>
        <w:rPr>
          <w:b/>
          <w:szCs w:val="20"/>
          <w:lang w:val="en-GB"/>
        </w:rPr>
        <w:t>St</w:t>
      </w:r>
      <w:bookmarkStart w:id="0" w:name="_GoBack"/>
      <w:bookmarkEnd w:id="0"/>
      <w:r>
        <w:rPr>
          <w:b/>
          <w:szCs w:val="20"/>
          <w:lang w:val="en-GB"/>
        </w:rPr>
        <w:t>reszczenie</w:t>
      </w:r>
      <w:proofErr w:type="spellEnd"/>
    </w:p>
    <w:p w:rsidR="00751B5E" w:rsidRPr="00D75664" w:rsidRDefault="00751B5E" w:rsidP="00751B5E">
      <w:pPr>
        <w:spacing w:line="360" w:lineRule="auto"/>
        <w:jc w:val="both"/>
        <w:rPr>
          <w:szCs w:val="20"/>
          <w:lang w:val="pl-PL"/>
        </w:rPr>
      </w:pPr>
      <w:proofErr w:type="spellStart"/>
      <w:r w:rsidRPr="00D75664">
        <w:rPr>
          <w:szCs w:val="20"/>
          <w:lang w:val="pl-PL"/>
        </w:rPr>
        <w:t>Kwantyle</w:t>
      </w:r>
      <w:proofErr w:type="spellEnd"/>
      <w:r w:rsidRPr="00D75664">
        <w:rPr>
          <w:szCs w:val="20"/>
          <w:lang w:val="pl-PL"/>
        </w:rPr>
        <w:t xml:space="preserve"> rozkładu dochodów są wykorzystywane do szacowania różnorodnych miar  nierówności, analiz ubóstwa i bogactwa gospodarstw domowych. Najczęściej są one szacowane przy użyciu klasycznego estymatora, będącego statystyką pozycyjną odpowiedniej rangi. Głównym celem pracy jest porównanie własności klasycznego estymatora </w:t>
      </w:r>
      <w:proofErr w:type="spellStart"/>
      <w:r w:rsidRPr="00D75664">
        <w:rPr>
          <w:szCs w:val="20"/>
          <w:lang w:val="pl-PL"/>
        </w:rPr>
        <w:t>kwantyla</w:t>
      </w:r>
      <w:proofErr w:type="spellEnd"/>
      <w:r w:rsidRPr="00D75664">
        <w:rPr>
          <w:szCs w:val="20"/>
          <w:lang w:val="pl-PL"/>
        </w:rPr>
        <w:t xml:space="preserve"> z własnościami estymatorów zaproponowanych przez </w:t>
      </w:r>
      <w:proofErr w:type="spellStart"/>
      <w:r w:rsidRPr="00D75664">
        <w:rPr>
          <w:szCs w:val="20"/>
          <w:lang w:val="pl-PL"/>
        </w:rPr>
        <w:t>Huanga</w:t>
      </w:r>
      <w:proofErr w:type="spellEnd"/>
      <w:r w:rsidRPr="00D75664">
        <w:rPr>
          <w:szCs w:val="20"/>
          <w:lang w:val="pl-PL"/>
        </w:rPr>
        <w:t xml:space="preserve"> i </w:t>
      </w:r>
      <w:proofErr w:type="spellStart"/>
      <w:r w:rsidRPr="00D75664">
        <w:rPr>
          <w:szCs w:val="20"/>
          <w:lang w:val="pl-PL"/>
        </w:rPr>
        <w:t>Brilla</w:t>
      </w:r>
      <w:proofErr w:type="spellEnd"/>
      <w:r w:rsidRPr="00D75664">
        <w:rPr>
          <w:szCs w:val="20"/>
          <w:lang w:val="pl-PL"/>
        </w:rPr>
        <w:t xml:space="preserve"> oraz Bernsteina. W celu zbadania obciążeń i błędów średniokwadratowych estymatorów </w:t>
      </w:r>
      <w:proofErr w:type="spellStart"/>
      <w:r w:rsidRPr="00D75664">
        <w:rPr>
          <w:szCs w:val="20"/>
          <w:lang w:val="pl-PL"/>
        </w:rPr>
        <w:t>kwantyli</w:t>
      </w:r>
      <w:proofErr w:type="spellEnd"/>
      <w:r w:rsidRPr="00D75664">
        <w:rPr>
          <w:szCs w:val="20"/>
          <w:lang w:val="pl-PL"/>
        </w:rPr>
        <w:t xml:space="preserve"> i miar nierówności opartych na </w:t>
      </w:r>
      <w:proofErr w:type="spellStart"/>
      <w:r w:rsidRPr="00D75664">
        <w:rPr>
          <w:szCs w:val="20"/>
          <w:lang w:val="pl-PL"/>
        </w:rPr>
        <w:t>kwantylach</w:t>
      </w:r>
      <w:proofErr w:type="spellEnd"/>
      <w:r w:rsidRPr="00D75664">
        <w:rPr>
          <w:szCs w:val="20"/>
          <w:lang w:val="pl-PL"/>
        </w:rPr>
        <w:t xml:space="preserve"> przeprowadzono eksperymenty Monte Carlo, rozważając różne liczebności prób i różne rozkłady. W pracy przedstawiono wyniki badań dla populacji o rozkładach </w:t>
      </w:r>
      <w:proofErr w:type="spellStart"/>
      <w:r w:rsidRPr="00D75664">
        <w:rPr>
          <w:szCs w:val="20"/>
          <w:lang w:val="pl-PL"/>
        </w:rPr>
        <w:t>lognormalnym</w:t>
      </w:r>
      <w:proofErr w:type="spellEnd"/>
      <w:r w:rsidRPr="00D75664">
        <w:rPr>
          <w:szCs w:val="20"/>
          <w:lang w:val="pl-PL"/>
        </w:rPr>
        <w:t xml:space="preserve"> i </w:t>
      </w:r>
      <w:proofErr w:type="spellStart"/>
      <w:r w:rsidRPr="00D75664">
        <w:rPr>
          <w:szCs w:val="20"/>
          <w:lang w:val="pl-PL"/>
        </w:rPr>
        <w:t>Daguma</w:t>
      </w:r>
      <w:proofErr w:type="spellEnd"/>
      <w:r w:rsidRPr="00D75664">
        <w:rPr>
          <w:szCs w:val="20"/>
          <w:lang w:val="pl-PL"/>
        </w:rPr>
        <w:t>, które najczęściej charakteryzującą dochody gospodarstw domowych. Wyniki eksperymentów symulacyjnych wskazują, że spośród rozważanych estymatorów  najlepsze własności  ma estymator Bernsteina, dlatego został on wykorzystany do oszacowania miar nierówności dochodowych, ubóstwa i bogactwa w Polsce w 2014 r. z uwzględnieniem podziału kraju na makroregiony. Analizy przeprowadzono w oparciu o dane pochodzące z Badania Budżetów Gospodarstw Domowych prowadzonego przez Główny Urząd Statystyczny.</w:t>
      </w:r>
    </w:p>
    <w:p w:rsidR="00751B5E" w:rsidRPr="00D75664" w:rsidRDefault="00751B5E" w:rsidP="00751B5E">
      <w:pPr>
        <w:spacing w:line="360" w:lineRule="auto"/>
        <w:jc w:val="both"/>
        <w:rPr>
          <w:szCs w:val="20"/>
          <w:lang w:val="pl-PL"/>
        </w:rPr>
      </w:pPr>
    </w:p>
    <w:p w:rsidR="00C823D7" w:rsidRPr="00751B5E" w:rsidRDefault="00C823D7">
      <w:pPr>
        <w:rPr>
          <w:lang w:val="pl-PL"/>
        </w:rPr>
      </w:pPr>
    </w:p>
    <w:sectPr w:rsidR="00C823D7" w:rsidRPr="0075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40"/>
    <w:rsid w:val="00751B5E"/>
    <w:rsid w:val="00924040"/>
    <w:rsid w:val="00C8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tractHeader">
    <w:name w:val="Abstract Header"/>
    <w:rsid w:val="0092404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04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tractHeader">
    <w:name w:val="Abstract Header"/>
    <w:rsid w:val="009240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2017-06-02T13:00:00Z</dcterms:created>
  <dcterms:modified xsi:type="dcterms:W3CDTF">2017-06-02T13:00:00Z</dcterms:modified>
</cp:coreProperties>
</file>