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79" w:rsidRPr="00460A1B" w:rsidRDefault="00886179" w:rsidP="00886179">
      <w:pPr>
        <w:suppressAutoHyphens w:val="0"/>
        <w:autoSpaceDE w:val="0"/>
        <w:autoSpaceDN w:val="0"/>
        <w:adjustRightInd w:val="0"/>
        <w:spacing w:line="360" w:lineRule="auto"/>
        <w:jc w:val="both"/>
        <w:rPr>
          <w:i/>
          <w:color w:val="000000"/>
          <w:lang w:eastAsia="pl-PL"/>
        </w:rPr>
      </w:pPr>
      <w:r>
        <w:rPr>
          <w:i/>
          <w:color w:val="000000"/>
          <w:lang w:eastAsia="pl-PL"/>
        </w:rPr>
        <w:t xml:space="preserve">dr </w:t>
      </w:r>
      <w:r w:rsidRPr="00460A1B">
        <w:rPr>
          <w:i/>
          <w:color w:val="000000"/>
          <w:lang w:eastAsia="pl-PL"/>
        </w:rPr>
        <w:t>Aleksandra Jurkowska</w:t>
      </w:r>
    </w:p>
    <w:p w:rsidR="00886179" w:rsidRDefault="00886179" w:rsidP="00886179">
      <w:pPr>
        <w:suppressAutoHyphens w:val="0"/>
        <w:autoSpaceDE w:val="0"/>
        <w:autoSpaceDN w:val="0"/>
        <w:adjustRightInd w:val="0"/>
        <w:spacing w:line="360" w:lineRule="auto"/>
        <w:jc w:val="both"/>
        <w:rPr>
          <w:i/>
          <w:color w:val="000000"/>
          <w:lang w:eastAsia="pl-PL"/>
        </w:rPr>
      </w:pPr>
      <w:r>
        <w:rPr>
          <w:i/>
          <w:color w:val="000000"/>
          <w:lang w:eastAsia="pl-PL"/>
        </w:rPr>
        <w:t xml:space="preserve">mgr </w:t>
      </w:r>
      <w:r w:rsidRPr="00460A1B">
        <w:rPr>
          <w:i/>
          <w:color w:val="000000"/>
          <w:lang w:eastAsia="pl-PL"/>
        </w:rPr>
        <w:t>Michał Boda</w:t>
      </w:r>
    </w:p>
    <w:p w:rsidR="00886179" w:rsidRDefault="00886179" w:rsidP="00886179">
      <w:pPr>
        <w:suppressAutoHyphens w:val="0"/>
        <w:autoSpaceDE w:val="0"/>
        <w:autoSpaceDN w:val="0"/>
        <w:adjustRightInd w:val="0"/>
        <w:spacing w:line="360" w:lineRule="auto"/>
        <w:jc w:val="both"/>
        <w:rPr>
          <w:i/>
          <w:color w:val="000000"/>
          <w:lang w:eastAsia="pl-PL"/>
        </w:rPr>
      </w:pPr>
      <w:r>
        <w:rPr>
          <w:i/>
          <w:color w:val="000000"/>
          <w:lang w:eastAsia="pl-PL"/>
        </w:rPr>
        <w:t>Uniwersytet Ekonomiczny w Krakowie</w:t>
      </w:r>
    </w:p>
    <w:p w:rsidR="00886179" w:rsidRPr="00460A1B" w:rsidRDefault="00886179" w:rsidP="00886179">
      <w:pPr>
        <w:suppressAutoHyphens w:val="0"/>
        <w:autoSpaceDE w:val="0"/>
        <w:autoSpaceDN w:val="0"/>
        <w:adjustRightInd w:val="0"/>
        <w:spacing w:line="360" w:lineRule="auto"/>
        <w:jc w:val="both"/>
        <w:rPr>
          <w:i/>
          <w:color w:val="000000"/>
          <w:lang w:eastAsia="pl-PL"/>
        </w:rPr>
      </w:pPr>
      <w:r>
        <w:rPr>
          <w:i/>
          <w:color w:val="000000"/>
          <w:lang w:eastAsia="pl-PL"/>
        </w:rPr>
        <w:t>Katedra Bankowości</w:t>
      </w:r>
    </w:p>
    <w:p w:rsidR="008E2C63" w:rsidRPr="00367BB6" w:rsidRDefault="008E2C63" w:rsidP="008E2C63">
      <w:pPr>
        <w:spacing w:before="240" w:line="360" w:lineRule="auto"/>
        <w:jc w:val="center"/>
        <w:rPr>
          <w:b/>
          <w:lang w:val="en-GB"/>
        </w:rPr>
      </w:pPr>
      <w:r w:rsidRPr="00367BB6">
        <w:rPr>
          <w:b/>
          <w:lang w:val="en-GB"/>
        </w:rPr>
        <w:t>Macro-economic stability in Poland agai</w:t>
      </w:r>
      <w:r>
        <w:rPr>
          <w:b/>
          <w:lang w:val="en-GB"/>
        </w:rPr>
        <w:t xml:space="preserve">nst the backdrop of Union tendencies </w:t>
      </w:r>
      <w:r>
        <w:rPr>
          <w:b/>
          <w:lang w:val="en-GB"/>
        </w:rPr>
        <w:br/>
        <w:t>in the light of</w:t>
      </w:r>
      <w:bookmarkStart w:id="0" w:name="_GoBack"/>
      <w:bookmarkEnd w:id="0"/>
      <w:r>
        <w:rPr>
          <w:b/>
          <w:lang w:val="en-GB"/>
        </w:rPr>
        <w:t xml:space="preserve"> the concept of MSP</w:t>
      </w:r>
    </w:p>
    <w:p w:rsidR="00886179" w:rsidRPr="002F1935" w:rsidRDefault="00886179" w:rsidP="003E7BA6">
      <w:pPr>
        <w:spacing w:before="240" w:line="360" w:lineRule="auto"/>
        <w:rPr>
          <w:b/>
          <w:lang w:val="en-GB"/>
        </w:rPr>
      </w:pPr>
      <w:r>
        <w:rPr>
          <w:b/>
          <w:lang w:val="en-GB"/>
        </w:rPr>
        <w:t>Abstract</w:t>
      </w:r>
    </w:p>
    <w:p w:rsidR="00886179" w:rsidRPr="00BF4D77" w:rsidRDefault="00886179" w:rsidP="003E7BA6">
      <w:pPr>
        <w:spacing w:line="360" w:lineRule="auto"/>
        <w:ind w:firstLine="708"/>
        <w:jc w:val="both"/>
        <w:rPr>
          <w:lang w:val="en-US"/>
        </w:rPr>
      </w:pPr>
      <w:r>
        <w:rPr>
          <w:lang w:val="en-GB"/>
        </w:rPr>
        <w:t>T</w:t>
      </w:r>
      <w:r w:rsidRPr="00700DF5">
        <w:rPr>
          <w:lang w:val="en-GB"/>
        </w:rPr>
        <w:t xml:space="preserve">his article </w:t>
      </w:r>
      <w:r>
        <w:rPr>
          <w:lang w:val="en-GB"/>
        </w:rPr>
        <w:t xml:space="preserve">aims to </w:t>
      </w:r>
      <w:r w:rsidRPr="00700DF5">
        <w:rPr>
          <w:lang w:val="en-GB"/>
        </w:rPr>
        <w:t>analy</w:t>
      </w:r>
      <w:r>
        <w:rPr>
          <w:lang w:val="en-GB"/>
        </w:rPr>
        <w:t xml:space="preserve">se the tendencies shaping the factors that determine the level of macroeconomic stability and to assess this level in Poland against the backdrop of different groups of the European Union member states (EU28 countries, Western Europe, Central and Eastern Europe and Southern Europe) over the period 2006-2015 by using the method of the </w:t>
      </w:r>
      <w:r w:rsidRPr="00700DF5">
        <w:rPr>
          <w:lang w:val="en-GB"/>
        </w:rPr>
        <w:t xml:space="preserve">Macroeconomic </w:t>
      </w:r>
      <w:r>
        <w:rPr>
          <w:lang w:val="en-GB"/>
        </w:rPr>
        <w:t>S</w:t>
      </w:r>
      <w:r w:rsidRPr="00700DF5">
        <w:rPr>
          <w:lang w:val="en-GB"/>
        </w:rPr>
        <w:t>tability Pentagon</w:t>
      </w:r>
      <w:r>
        <w:rPr>
          <w:lang w:val="en-GB"/>
        </w:rPr>
        <w:t xml:space="preserve"> (MSP). The subject of the analysis in the presented method are the rate of economic growth (GDP), the unemployment rate (U), the rate of inflation (CPI), public finance balance (G) and the country’s foreign current account (CA). These values constitute the apexes of the pentagon constructed in such a way that </w:t>
      </w:r>
      <w:r w:rsidRPr="005D38FF">
        <w:rPr>
          <w:lang w:val="en-GB"/>
        </w:rPr>
        <w:t>the more desirable</w:t>
      </w:r>
      <w:r>
        <w:rPr>
          <w:lang w:val="en-GB"/>
        </w:rPr>
        <w:t xml:space="preserve"> the value of the indicator, the further their corresponding apex is situated from the centre of the system. The article proposes establishing a joint area of the MSP based on a modified classic scale and a scale with regression (these approaches do not take into account and take into account, respectively, the negative influence of deflation on the general level of macroeconomic stability). The analyses which have been conducted lead to the conclusion that in the recent years the EU28 countries have returned to the level of macroeconomic </w:t>
      </w:r>
      <w:r>
        <w:rPr>
          <w:lang w:val="en-US"/>
        </w:rPr>
        <w:t>equilibrium prior to the crisis of 2008-2009. In Poland the MSP indicator has been growing since 2013 and has significantly exceeded the levels observed in Southern European countries, however until 2015 its level was still lower than the average for EU28 and the average set for the Central and Eastern European countries. This is mainly due to the high level of unemployment, which despite its tendency to drop maintained a higher level than the EU average.</w:t>
      </w:r>
    </w:p>
    <w:p w:rsidR="00886179" w:rsidRDefault="00886179" w:rsidP="008D1793">
      <w:pPr>
        <w:spacing w:line="360" w:lineRule="auto"/>
        <w:ind w:firstLine="708"/>
        <w:jc w:val="both"/>
        <w:rPr>
          <w:lang w:val="en-GB"/>
        </w:rPr>
      </w:pPr>
      <w:r w:rsidRPr="005A395A">
        <w:rPr>
          <w:b/>
          <w:lang w:val="en-GB"/>
        </w:rPr>
        <w:t>Key words</w:t>
      </w:r>
      <w:r w:rsidRPr="003F18BE">
        <w:rPr>
          <w:lang w:val="en-GB"/>
        </w:rPr>
        <w:t xml:space="preserve">: </w:t>
      </w:r>
      <w:r>
        <w:rPr>
          <w:lang w:val="en-GB"/>
        </w:rPr>
        <w:t xml:space="preserve">economic policy, macroeconomic indicators, macroeconomic stability, </w:t>
      </w:r>
      <w:r w:rsidRPr="003F18BE">
        <w:rPr>
          <w:lang w:val="en-GB"/>
        </w:rPr>
        <w:t>Macroeconomic Stability Pentagon</w:t>
      </w:r>
      <w:r>
        <w:rPr>
          <w:lang w:val="en-GB"/>
        </w:rPr>
        <w:t xml:space="preserve"> (MSP), MSP indicator</w:t>
      </w:r>
    </w:p>
    <w:p w:rsidR="0044422B" w:rsidRDefault="0044422B" w:rsidP="008D1793">
      <w:pPr>
        <w:spacing w:line="360" w:lineRule="auto"/>
        <w:ind w:firstLine="708"/>
        <w:jc w:val="both"/>
        <w:rPr>
          <w:lang w:val="en-GB"/>
        </w:rPr>
      </w:pPr>
    </w:p>
    <w:p w:rsidR="0044422B" w:rsidRPr="003F18BE" w:rsidRDefault="0044422B" w:rsidP="008D1793">
      <w:pPr>
        <w:spacing w:line="360" w:lineRule="auto"/>
        <w:ind w:firstLine="708"/>
        <w:jc w:val="both"/>
        <w:rPr>
          <w:lang w:val="en-GB"/>
        </w:rPr>
      </w:pPr>
    </w:p>
    <w:p w:rsidR="005E4ECF" w:rsidRPr="005E4ECF" w:rsidRDefault="005E4ECF" w:rsidP="005E4ECF">
      <w:pPr>
        <w:suppressAutoHyphens w:val="0"/>
        <w:autoSpaceDE w:val="0"/>
        <w:autoSpaceDN w:val="0"/>
        <w:adjustRightInd w:val="0"/>
        <w:spacing w:before="240" w:after="240" w:line="360" w:lineRule="auto"/>
        <w:jc w:val="center"/>
        <w:rPr>
          <w:b/>
          <w:color w:val="000000"/>
          <w:lang w:eastAsia="pl-PL"/>
        </w:rPr>
      </w:pPr>
      <w:r>
        <w:rPr>
          <w:b/>
          <w:color w:val="000000"/>
          <w:lang w:eastAsia="pl-PL"/>
        </w:rPr>
        <w:lastRenderedPageBreak/>
        <w:t>Stabilność makroekonomiczna w Polsce na tle tendencji unijnych w świetle koncepcji PSM</w:t>
      </w:r>
    </w:p>
    <w:p w:rsidR="003E7BA6" w:rsidRPr="003E7BA6" w:rsidRDefault="003E7BA6" w:rsidP="003E7BA6">
      <w:pPr>
        <w:spacing w:line="360" w:lineRule="auto"/>
        <w:rPr>
          <w:b/>
        </w:rPr>
      </w:pPr>
      <w:r w:rsidRPr="003E7BA6">
        <w:rPr>
          <w:b/>
        </w:rPr>
        <w:t>Streszczenie</w:t>
      </w:r>
    </w:p>
    <w:p w:rsidR="00FB6F76" w:rsidRPr="00F573F9" w:rsidRDefault="00FB6F76" w:rsidP="00FB6F76">
      <w:pPr>
        <w:spacing w:line="360" w:lineRule="auto"/>
        <w:ind w:firstLine="709"/>
        <w:jc w:val="both"/>
      </w:pPr>
      <w:r w:rsidRPr="00F573F9">
        <w:t>Cele artykułu to analiza tendencji w zakresie kształtowania się czynników determinujących poziom stabilizacji makroekonomicznej oraz ocena tego poziomu w Polsce na tle różnych grup krajów Unii Europejskiej (kraje UE28, Europy Zachodniej, Europy Środkowo-Wschodniej oraz Europy Południowej) w latach 2006-2015 przy wykorzystaniu metody pięciokąta stabilizacji makroekonomicznej (PSM). Przedmiotem analizy w prezentowanej metodzie są tempo wzrostu gospodarczego (GDP), stopa bezrobocia (U), stopa inflacji (CPI), saldo finansów publicznych (G) oraz saldo bieżących obrotów z zagranicą (CA), których wartości stanowią wierzchołki pięciokąta wyskalowanego w ten sposób, że im bardziej pożądane wartości wskaźników, tym punkty je obrazujące znajdują się dalej od środka układu. W artykule zaproponowano wyznaczenie łącznego pola PSM w oparciu o zmodyfikowaną skalę klasyczną oraz skalę z regresem (podejścia odpowiednio nie uwzględniające oraz uwzględniające negatywne oddziaływanie zjawisk deflacyjnych na ogólny poziom stabilizacji makroekonomicznej). Przeprowadzone analizy pozwalają sformułować wniosek, że w ostatnich latach kraje EU28 powróciły do poziom równowagi makroekonomicznej sprzed kryzysu w latach 2008-2009. W Polsce wskaźnik PSM wzrastał od 2013 r. i zasadniczo przekraczał poziomy obserwowane w odniesieniu do krajów Europy Południowej, jednak do roku 2015 jego poziom był wciąż niższy od średniej dla UE28 oraz od średniej wyznaczonej dla krajów Europy Środkowo-Wschodniej. Na taki stan rzeczy wpływała głównie wysoka stopa bezrobocia, która pomimo tendencji spadkowej wciąż utrzymywała się na powyżej przeciętnej unijnej.</w:t>
      </w:r>
    </w:p>
    <w:p w:rsidR="00FB6F76" w:rsidRPr="00F573F9" w:rsidRDefault="00FB6F76" w:rsidP="00FB6F76">
      <w:pPr>
        <w:spacing w:line="360" w:lineRule="auto"/>
        <w:ind w:firstLine="708"/>
        <w:jc w:val="both"/>
      </w:pPr>
      <w:r w:rsidRPr="00FB6F76">
        <w:rPr>
          <w:b/>
        </w:rPr>
        <w:t>Słowa kluczowe</w:t>
      </w:r>
      <w:r>
        <w:t>: pięciokąt stabilizacji makroekonomicznej (PSM), polityka gospodarcza, stabilizacja makroekonomiczna, wskaźniki makroekonomiczne,</w:t>
      </w:r>
      <w:r w:rsidRPr="0069499F">
        <w:t xml:space="preserve"> </w:t>
      </w:r>
      <w:r>
        <w:t>wskaźnik PSM</w:t>
      </w:r>
    </w:p>
    <w:p w:rsidR="008D1793" w:rsidRPr="008D1793" w:rsidRDefault="008D1793" w:rsidP="00FB6F76">
      <w:pPr>
        <w:spacing w:line="360" w:lineRule="auto"/>
        <w:ind w:firstLine="708"/>
        <w:jc w:val="both"/>
      </w:pPr>
    </w:p>
    <w:sectPr w:rsidR="008D1793" w:rsidRPr="008D1793" w:rsidSect="0057701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8FB" w:rsidRDefault="00A538FB" w:rsidP="003E7BA6">
      <w:r>
        <w:separator/>
      </w:r>
    </w:p>
  </w:endnote>
  <w:endnote w:type="continuationSeparator" w:id="0">
    <w:p w:rsidR="00A538FB" w:rsidRDefault="00A538FB" w:rsidP="003E7B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8FB" w:rsidRDefault="00A538FB" w:rsidP="003E7BA6">
      <w:r>
        <w:separator/>
      </w:r>
    </w:p>
  </w:footnote>
  <w:footnote w:type="continuationSeparator" w:id="0">
    <w:p w:rsidR="00A538FB" w:rsidRDefault="00A538FB" w:rsidP="003E7B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defaultTabStop w:val="708"/>
  <w:hyphenationZone w:val="425"/>
  <w:characterSpacingControl w:val="doNotCompress"/>
  <w:footnotePr>
    <w:footnote w:id="-1"/>
    <w:footnote w:id="0"/>
  </w:footnotePr>
  <w:endnotePr>
    <w:endnote w:id="-1"/>
    <w:endnote w:id="0"/>
  </w:endnotePr>
  <w:compat/>
  <w:rsids>
    <w:rsidRoot w:val="00886179"/>
    <w:rsid w:val="000C2257"/>
    <w:rsid w:val="001C4044"/>
    <w:rsid w:val="0024315B"/>
    <w:rsid w:val="002C2BD7"/>
    <w:rsid w:val="003E7BA6"/>
    <w:rsid w:val="0044422B"/>
    <w:rsid w:val="0057701D"/>
    <w:rsid w:val="005A55D9"/>
    <w:rsid w:val="005E4ECF"/>
    <w:rsid w:val="005E582C"/>
    <w:rsid w:val="007446C5"/>
    <w:rsid w:val="00832D95"/>
    <w:rsid w:val="00886179"/>
    <w:rsid w:val="008D1793"/>
    <w:rsid w:val="008E2C63"/>
    <w:rsid w:val="009E44C0"/>
    <w:rsid w:val="00A3091A"/>
    <w:rsid w:val="00A538FB"/>
    <w:rsid w:val="00A6093F"/>
    <w:rsid w:val="00AA3A31"/>
    <w:rsid w:val="00B76A19"/>
    <w:rsid w:val="00EC6BA8"/>
    <w:rsid w:val="00FB6F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617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Carattere Znak Znak,Carattere Znak Znak Znak Znak Znak Znak,Carattere Znak,Carattere,przypis_raport,Tekst przypisu Znak,przypis_raport Znak,Tekst przypisu Znak1,przypis_raport Znak1,Tekst przypisu dolnego Znak Znak"/>
    <w:basedOn w:val="Normalny"/>
    <w:link w:val="TekstprzypisudolnegoZnak"/>
    <w:semiHidden/>
    <w:rsid w:val="003E7BA6"/>
    <w:rPr>
      <w:sz w:val="20"/>
      <w:szCs w:val="20"/>
    </w:rPr>
  </w:style>
  <w:style w:type="character" w:customStyle="1" w:styleId="TekstprzypisudolnegoZnak">
    <w:name w:val="Tekst przypisu dolnego Znak"/>
    <w:aliases w:val="Carattere Znak Znak Znak,Carattere Znak Znak Znak Znak Znak Znak Znak,Carattere Znak Znak1,Carattere Znak1,przypis_raport Znak2,Tekst przypisu Znak Znak,przypis_raport Znak Znak,Tekst przypisu Znak1 Znak"/>
    <w:basedOn w:val="Domylnaczcionkaakapitu"/>
    <w:link w:val="Tekstprzypisudolnego"/>
    <w:semiHidden/>
    <w:rsid w:val="003E7BA6"/>
    <w:rPr>
      <w:rFonts w:ascii="Times New Roman" w:eastAsia="Times New Roman" w:hAnsi="Times New Roman" w:cs="Times New Roman"/>
      <w:sz w:val="20"/>
      <w:szCs w:val="20"/>
      <w:lang w:eastAsia="ar-SA"/>
    </w:rPr>
  </w:style>
  <w:style w:type="character" w:styleId="Odwoanieprzypisudolnego">
    <w:name w:val="footnote reference"/>
    <w:aliases w:val="Odwołanie przypisu"/>
    <w:basedOn w:val="Domylnaczcionkaakapitu"/>
    <w:semiHidden/>
    <w:rsid w:val="003E7BA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dc:creator>
  <cp:lastModifiedBy>jurkowsa</cp:lastModifiedBy>
  <cp:revision>4</cp:revision>
  <dcterms:created xsi:type="dcterms:W3CDTF">2017-06-27T10:31:00Z</dcterms:created>
  <dcterms:modified xsi:type="dcterms:W3CDTF">2017-06-27T10:48:00Z</dcterms:modified>
</cp:coreProperties>
</file>