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61D4A" w14:textId="63743523" w:rsidR="00733CA7" w:rsidRPr="003D6C5D" w:rsidRDefault="00733CA7" w:rsidP="0071390A">
      <w:pPr>
        <w:keepNext/>
        <w:keepLines/>
        <w:tabs>
          <w:tab w:val="num" w:pos="360"/>
        </w:tabs>
        <w:spacing w:before="0" w:after="0" w:line="360" w:lineRule="auto"/>
        <w:jc w:val="both"/>
        <w:outlineLvl w:val="0"/>
        <w:rPr>
          <w:rFonts w:ascii="Times New Roman" w:eastAsiaTheme="majorEastAsia" w:hAnsi="Times New Roman" w:cs="Times New Roman"/>
          <w:b/>
          <w:bCs/>
          <w:sz w:val="24"/>
          <w:szCs w:val="24"/>
          <w:lang w:val="en-US" w:eastAsia="de-DE"/>
        </w:rPr>
      </w:pPr>
      <w:bookmarkStart w:id="0" w:name="_GoBack"/>
      <w:bookmarkEnd w:id="0"/>
      <w:r w:rsidRPr="003D6C5D">
        <w:rPr>
          <w:rFonts w:ascii="Times New Roman" w:eastAsiaTheme="majorEastAsia" w:hAnsi="Times New Roman" w:cs="Times New Roman"/>
          <w:b/>
          <w:bCs/>
          <w:sz w:val="24"/>
          <w:szCs w:val="24"/>
          <w:lang w:val="en-US" w:eastAsia="de-DE"/>
        </w:rPr>
        <w:t xml:space="preserve">Trading recommendations – A long term analysis and the evolution of law </w:t>
      </w:r>
    </w:p>
    <w:p w14:paraId="787E7C31" w14:textId="77777777" w:rsidR="00733CA7" w:rsidRPr="003D6C5D" w:rsidRDefault="00733CA7" w:rsidP="0071390A">
      <w:pPr>
        <w:keepNext/>
        <w:keepLines/>
        <w:tabs>
          <w:tab w:val="num" w:pos="360"/>
        </w:tabs>
        <w:spacing w:before="0" w:after="0" w:line="360" w:lineRule="auto"/>
        <w:jc w:val="both"/>
        <w:outlineLvl w:val="1"/>
        <w:rPr>
          <w:rFonts w:ascii="Times New Roman" w:eastAsiaTheme="majorEastAsia" w:hAnsi="Times New Roman" w:cs="Times New Roman"/>
          <w:b/>
          <w:bCs/>
          <w:lang w:val="en-US" w:eastAsia="de-DE"/>
        </w:rPr>
      </w:pPr>
    </w:p>
    <w:p w14:paraId="276F5B9D" w14:textId="594AC65B" w:rsidR="00733CA7" w:rsidRPr="003D6C5D" w:rsidRDefault="00733CA7" w:rsidP="0071390A">
      <w:pPr>
        <w:keepNext/>
        <w:keepLines/>
        <w:tabs>
          <w:tab w:val="num" w:pos="360"/>
        </w:tabs>
        <w:spacing w:before="0" w:after="0" w:line="360" w:lineRule="auto"/>
        <w:jc w:val="both"/>
        <w:outlineLvl w:val="1"/>
        <w:rPr>
          <w:rFonts w:ascii="Times New Roman" w:eastAsiaTheme="majorEastAsia" w:hAnsi="Times New Roman" w:cs="Times New Roman"/>
          <w:bCs/>
          <w:lang w:val="en-US" w:eastAsia="de-DE"/>
        </w:rPr>
      </w:pPr>
      <w:r w:rsidRPr="003D6C5D">
        <w:rPr>
          <w:rFonts w:ascii="Times New Roman" w:eastAsiaTheme="majorEastAsia" w:hAnsi="Times New Roman" w:cs="Times New Roman"/>
          <w:b/>
          <w:bCs/>
          <w:lang w:val="en-US" w:eastAsia="de-DE"/>
        </w:rPr>
        <w:t xml:space="preserve">Abstract: </w:t>
      </w:r>
      <w:r w:rsidRPr="003D6C5D">
        <w:rPr>
          <w:rFonts w:ascii="Times New Roman" w:eastAsiaTheme="majorEastAsia" w:hAnsi="Times New Roman" w:cs="Times New Roman"/>
          <w:bCs/>
          <w:lang w:val="en-US" w:eastAsia="de-DE"/>
        </w:rPr>
        <w:t xml:space="preserve">The purpose of this paper is to assess the profitability of strategies based on the issued recommendations. The authors focused on the quality of brokerage recommendation </w:t>
      </w:r>
      <w:r w:rsidR="006356B7">
        <w:rPr>
          <w:rFonts w:ascii="Times New Roman" w:eastAsiaTheme="majorEastAsia" w:hAnsi="Times New Roman" w:cs="Times New Roman"/>
          <w:bCs/>
          <w:lang w:val="en-US" w:eastAsia="de-DE"/>
        </w:rPr>
        <w:t xml:space="preserve">for companies listed </w:t>
      </w:r>
      <w:r w:rsidRPr="003D6C5D">
        <w:rPr>
          <w:rFonts w:ascii="Times New Roman" w:eastAsiaTheme="majorEastAsia" w:hAnsi="Times New Roman" w:cs="Times New Roman"/>
          <w:bCs/>
          <w:lang w:val="en-US" w:eastAsia="de-DE"/>
        </w:rPr>
        <w:t>on</w:t>
      </w:r>
      <w:r w:rsidR="006356B7">
        <w:rPr>
          <w:rFonts w:ascii="Times New Roman" w:eastAsiaTheme="majorEastAsia" w:hAnsi="Times New Roman" w:cs="Times New Roman"/>
          <w:bCs/>
          <w:lang w:val="en-US" w:eastAsia="de-DE"/>
        </w:rPr>
        <w:t xml:space="preserve"> the</w:t>
      </w:r>
      <w:r w:rsidRPr="003D6C5D">
        <w:rPr>
          <w:rFonts w:ascii="Times New Roman" w:eastAsiaTheme="majorEastAsia" w:hAnsi="Times New Roman" w:cs="Times New Roman"/>
          <w:bCs/>
          <w:lang w:val="en-US" w:eastAsia="de-DE"/>
        </w:rPr>
        <w:t xml:space="preserve"> Warsaw Stock Exchange</w:t>
      </w:r>
      <w:r>
        <w:rPr>
          <w:rFonts w:ascii="Times New Roman" w:eastAsiaTheme="majorEastAsia" w:hAnsi="Times New Roman" w:cs="Times New Roman"/>
          <w:bCs/>
          <w:lang w:val="en-US" w:eastAsia="de-DE"/>
        </w:rPr>
        <w:t>. Furthermore</w:t>
      </w:r>
      <w:r w:rsidRPr="003D6C5D">
        <w:rPr>
          <w:rFonts w:ascii="Times New Roman" w:eastAsiaTheme="majorEastAsia" w:hAnsi="Times New Roman" w:cs="Times New Roman"/>
          <w:bCs/>
          <w:lang w:val="en-US" w:eastAsia="de-DE"/>
        </w:rPr>
        <w:t xml:space="preserve"> </w:t>
      </w:r>
      <w:r>
        <w:rPr>
          <w:rFonts w:ascii="Times New Roman" w:eastAsiaTheme="majorEastAsia" w:hAnsi="Times New Roman" w:cs="Times New Roman"/>
          <w:bCs/>
          <w:lang w:val="en-US" w:eastAsia="de-DE"/>
        </w:rPr>
        <w:t>the improvement of the quality of recommendations over the years has been investigated. Finally, the evolution of the regulations</w:t>
      </w:r>
      <w:r w:rsidRPr="003D6C5D">
        <w:rPr>
          <w:rFonts w:ascii="Times New Roman" w:eastAsiaTheme="majorEastAsia" w:hAnsi="Times New Roman" w:cs="Times New Roman"/>
          <w:bCs/>
          <w:lang w:val="en-US" w:eastAsia="de-DE"/>
        </w:rPr>
        <w:t xml:space="preserve"> towards providing the investors the reliable source of recommenda</w:t>
      </w:r>
      <w:r>
        <w:rPr>
          <w:rFonts w:ascii="Times New Roman" w:eastAsiaTheme="majorEastAsia" w:hAnsi="Times New Roman" w:cs="Times New Roman"/>
          <w:bCs/>
          <w:lang w:val="en-US" w:eastAsia="de-DE"/>
        </w:rPr>
        <w:t>tions was examined. The analysis covers all</w:t>
      </w:r>
      <w:r w:rsidRPr="003D6C5D">
        <w:rPr>
          <w:rFonts w:ascii="Times New Roman" w:eastAsiaTheme="majorEastAsia" w:hAnsi="Times New Roman" w:cs="Times New Roman"/>
          <w:bCs/>
          <w:lang w:val="en-US" w:eastAsia="de-DE"/>
        </w:rPr>
        <w:t xml:space="preserve"> stock recommendation</w:t>
      </w:r>
      <w:r>
        <w:rPr>
          <w:rFonts w:ascii="Times New Roman" w:eastAsiaTheme="majorEastAsia" w:hAnsi="Times New Roman" w:cs="Times New Roman"/>
          <w:bCs/>
          <w:lang w:val="en-US" w:eastAsia="de-DE"/>
        </w:rPr>
        <w:t>s</w:t>
      </w:r>
      <w:r w:rsidRPr="003D6C5D">
        <w:rPr>
          <w:rFonts w:ascii="Times New Roman" w:eastAsiaTheme="majorEastAsia" w:hAnsi="Times New Roman" w:cs="Times New Roman"/>
          <w:bCs/>
          <w:lang w:val="en-US" w:eastAsia="de-DE"/>
        </w:rPr>
        <w:t xml:space="preserve"> for companies listed on the Warsaw Stock Exchange released since</w:t>
      </w:r>
      <w:r>
        <w:rPr>
          <w:rFonts w:ascii="Times New Roman" w:eastAsiaTheme="majorEastAsia" w:hAnsi="Times New Roman" w:cs="Times New Roman"/>
          <w:bCs/>
          <w:lang w:val="en-US" w:eastAsia="de-DE"/>
        </w:rPr>
        <w:t xml:space="preserve"> January 2006 through the </w:t>
      </w:r>
      <w:r w:rsidRPr="003D6C5D">
        <w:rPr>
          <w:rFonts w:ascii="Times New Roman" w:eastAsiaTheme="majorEastAsia" w:hAnsi="Times New Roman" w:cs="Times New Roman"/>
          <w:bCs/>
          <w:lang w:val="en-US" w:eastAsia="de-DE"/>
        </w:rPr>
        <w:t xml:space="preserve">end of October 2017. The equity curve presents the results of calculation </w:t>
      </w:r>
      <w:r>
        <w:rPr>
          <w:rFonts w:ascii="Times New Roman" w:eastAsiaTheme="majorEastAsia" w:hAnsi="Times New Roman" w:cs="Times New Roman"/>
          <w:bCs/>
          <w:lang w:val="en-US" w:eastAsia="de-DE"/>
        </w:rPr>
        <w:t xml:space="preserve">and </w:t>
      </w:r>
      <w:r w:rsidRPr="003D6C5D">
        <w:rPr>
          <w:rFonts w:ascii="Times New Roman" w:eastAsiaTheme="majorEastAsia" w:hAnsi="Times New Roman" w:cs="Times New Roman"/>
          <w:bCs/>
          <w:lang w:val="en-US" w:eastAsia="de-DE"/>
        </w:rPr>
        <w:t>covers both transaction cost an</w:t>
      </w:r>
      <w:r>
        <w:rPr>
          <w:rFonts w:ascii="Times New Roman" w:eastAsiaTheme="majorEastAsia" w:hAnsi="Times New Roman" w:cs="Times New Roman"/>
          <w:bCs/>
          <w:lang w:val="en-US" w:eastAsia="de-DE"/>
        </w:rPr>
        <w:t xml:space="preserve">d capital gain tax. The analysis </w:t>
      </w:r>
      <w:r w:rsidRPr="003D6C5D">
        <w:rPr>
          <w:rFonts w:ascii="Times New Roman" w:eastAsiaTheme="majorEastAsia" w:hAnsi="Times New Roman" w:cs="Times New Roman"/>
          <w:bCs/>
          <w:lang w:val="en-US" w:eastAsia="de-DE"/>
        </w:rPr>
        <w:t xml:space="preserve">of </w:t>
      </w:r>
      <w:r w:rsidR="006356B7">
        <w:rPr>
          <w:rFonts w:ascii="Times New Roman" w:eastAsiaTheme="majorEastAsia" w:hAnsi="Times New Roman" w:cs="Times New Roman"/>
          <w:bCs/>
          <w:lang w:val="en-US" w:eastAsia="de-DE"/>
        </w:rPr>
        <w:t xml:space="preserve">the </w:t>
      </w:r>
      <w:r w:rsidRPr="003D6C5D">
        <w:rPr>
          <w:rFonts w:ascii="Times New Roman" w:eastAsiaTheme="majorEastAsia" w:hAnsi="Times New Roman" w:cs="Times New Roman"/>
          <w:bCs/>
          <w:lang w:val="en-US" w:eastAsia="de-DE"/>
        </w:rPr>
        <w:t>recommendation</w:t>
      </w:r>
      <w:r>
        <w:rPr>
          <w:rFonts w:ascii="Times New Roman" w:eastAsiaTheme="majorEastAsia" w:hAnsi="Times New Roman" w:cs="Times New Roman"/>
          <w:bCs/>
          <w:lang w:val="en-US" w:eastAsia="de-DE"/>
        </w:rPr>
        <w:t>s</w:t>
      </w:r>
      <w:r w:rsidRPr="003D6C5D">
        <w:rPr>
          <w:rFonts w:ascii="Times New Roman" w:eastAsiaTheme="majorEastAsia" w:hAnsi="Times New Roman" w:cs="Times New Roman"/>
          <w:bCs/>
          <w:lang w:val="en-US" w:eastAsia="de-DE"/>
        </w:rPr>
        <w:t xml:space="preserve"> proves that </w:t>
      </w:r>
      <w:r w:rsidR="006356B7">
        <w:rPr>
          <w:rFonts w:ascii="Times New Roman" w:eastAsiaTheme="majorEastAsia" w:hAnsi="Times New Roman" w:cs="Times New Roman"/>
          <w:bCs/>
          <w:lang w:val="en-US" w:eastAsia="de-DE"/>
        </w:rPr>
        <w:t>thei</w:t>
      </w:r>
      <w:r w:rsidR="00272E65">
        <w:rPr>
          <w:rFonts w:ascii="Times New Roman" w:eastAsiaTheme="majorEastAsia" w:hAnsi="Times New Roman" w:cs="Times New Roman"/>
          <w:bCs/>
          <w:lang w:val="en-US" w:eastAsia="de-DE"/>
        </w:rPr>
        <w:t>r</w:t>
      </w:r>
      <w:r w:rsidR="006356B7">
        <w:rPr>
          <w:rFonts w:ascii="Times New Roman" w:eastAsiaTheme="majorEastAsia" w:hAnsi="Times New Roman" w:cs="Times New Roman"/>
          <w:bCs/>
          <w:lang w:val="en-US" w:eastAsia="de-DE"/>
        </w:rPr>
        <w:t xml:space="preserve"> </w:t>
      </w:r>
      <w:r w:rsidRPr="003D6C5D">
        <w:rPr>
          <w:rFonts w:ascii="Times New Roman" w:eastAsiaTheme="majorEastAsia" w:hAnsi="Times New Roman" w:cs="Times New Roman"/>
          <w:bCs/>
          <w:lang w:val="en-US" w:eastAsia="de-DE"/>
        </w:rPr>
        <w:t xml:space="preserve">overall quality is extremely low and the problem is </w:t>
      </w:r>
      <w:r>
        <w:rPr>
          <w:rFonts w:ascii="Times New Roman" w:eastAsiaTheme="majorEastAsia" w:hAnsi="Times New Roman" w:cs="Times New Roman"/>
          <w:bCs/>
          <w:lang w:val="en-US" w:eastAsia="de-DE"/>
        </w:rPr>
        <w:t>affected further by taxation. Despite poor recommendations, the research identifies</w:t>
      </w:r>
      <w:r w:rsidRPr="003D6C5D">
        <w:rPr>
          <w:rFonts w:ascii="Times New Roman" w:eastAsiaTheme="majorEastAsia" w:hAnsi="Times New Roman" w:cs="Times New Roman"/>
          <w:bCs/>
          <w:lang w:val="en-US" w:eastAsia="de-DE"/>
        </w:rPr>
        <w:t xml:space="preserve"> leaders among</w:t>
      </w:r>
      <w:r>
        <w:rPr>
          <w:rFonts w:ascii="Times New Roman" w:eastAsiaTheme="majorEastAsia" w:hAnsi="Times New Roman" w:cs="Times New Roman"/>
          <w:bCs/>
          <w:lang w:val="en-US" w:eastAsia="de-DE"/>
        </w:rPr>
        <w:t>st</w:t>
      </w:r>
      <w:r w:rsidRPr="003D6C5D">
        <w:rPr>
          <w:rFonts w:ascii="Times New Roman" w:eastAsiaTheme="majorEastAsia" w:hAnsi="Times New Roman" w:cs="Times New Roman"/>
          <w:bCs/>
          <w:lang w:val="en-US" w:eastAsia="de-DE"/>
        </w:rPr>
        <w:t xml:space="preserve"> the recommenders.</w:t>
      </w:r>
      <w:r w:rsidRPr="003D6C5D">
        <w:rPr>
          <w:rFonts w:ascii="Calibri Light" w:eastAsiaTheme="majorEastAsia" w:hAnsi="Calibri Light" w:cstheme="majorBidi"/>
          <w:bCs/>
          <w:lang w:val="en-US" w:eastAsia="de-DE"/>
        </w:rPr>
        <w:t xml:space="preserve"> </w:t>
      </w:r>
      <w:r>
        <w:rPr>
          <w:rFonts w:ascii="Times New Roman" w:eastAsiaTheme="majorEastAsia" w:hAnsi="Times New Roman" w:cs="Times New Roman"/>
          <w:bCs/>
          <w:lang w:val="en-US" w:eastAsia="de-DE"/>
        </w:rPr>
        <w:t>Unfortunately, overall</w:t>
      </w:r>
      <w:r w:rsidRPr="003D6C5D">
        <w:rPr>
          <w:rFonts w:ascii="Times New Roman" w:eastAsiaTheme="majorEastAsia" w:hAnsi="Times New Roman" w:cs="Times New Roman"/>
          <w:bCs/>
          <w:lang w:val="en-US" w:eastAsia="de-DE"/>
        </w:rPr>
        <w:t xml:space="preserve"> weak performance of issued recommendatio</w:t>
      </w:r>
      <w:r>
        <w:rPr>
          <w:rFonts w:ascii="Times New Roman" w:eastAsiaTheme="majorEastAsia" w:hAnsi="Times New Roman" w:cs="Times New Roman"/>
          <w:bCs/>
          <w:lang w:val="en-US" w:eastAsia="de-DE"/>
        </w:rPr>
        <w:t>ns does</w:t>
      </w:r>
      <w:r w:rsidRPr="003D6C5D">
        <w:rPr>
          <w:rFonts w:ascii="Times New Roman" w:eastAsiaTheme="majorEastAsia" w:hAnsi="Times New Roman" w:cs="Times New Roman"/>
          <w:bCs/>
          <w:lang w:val="en-US" w:eastAsia="de-DE"/>
        </w:rPr>
        <w:t xml:space="preserve"> not imply any changes in regulations.</w:t>
      </w:r>
    </w:p>
    <w:p w14:paraId="761A5A97" w14:textId="77777777" w:rsidR="00733CA7" w:rsidRPr="003D6C5D" w:rsidRDefault="00733CA7" w:rsidP="0071390A">
      <w:pPr>
        <w:keepNext/>
        <w:keepLines/>
        <w:tabs>
          <w:tab w:val="num" w:pos="360"/>
        </w:tabs>
        <w:spacing w:before="0" w:after="0" w:line="360" w:lineRule="auto"/>
        <w:jc w:val="both"/>
        <w:outlineLvl w:val="1"/>
        <w:rPr>
          <w:rFonts w:ascii="Times New Roman" w:eastAsiaTheme="majorEastAsia" w:hAnsi="Times New Roman" w:cs="Times New Roman"/>
          <w:bCs/>
          <w:sz w:val="24"/>
          <w:szCs w:val="24"/>
          <w:lang w:val="en-US" w:eastAsia="de-DE"/>
        </w:rPr>
      </w:pPr>
      <w:r w:rsidRPr="003D6C5D">
        <w:rPr>
          <w:rFonts w:ascii="Times New Roman" w:hAnsi="Times New Roman" w:cs="Times New Roman"/>
          <w:b/>
          <w:lang w:val="en-US" w:eastAsia="de-DE"/>
        </w:rPr>
        <w:t>Key words: stock market recommendation, individual investor, capital gain tax, investment, Warsaw Stock Exchange.</w:t>
      </w:r>
      <w:r w:rsidRPr="003D6C5D">
        <w:rPr>
          <w:rFonts w:ascii="Times New Roman" w:hAnsi="Times New Roman" w:cs="Times New Roman"/>
          <w:b/>
          <w:sz w:val="24"/>
          <w:szCs w:val="24"/>
          <w:lang w:val="en-US" w:eastAsia="de-DE"/>
        </w:rPr>
        <w:t xml:space="preserve">  </w:t>
      </w:r>
      <w:r w:rsidRPr="003D6C5D">
        <w:rPr>
          <w:rFonts w:ascii="Times New Roman" w:hAnsi="Times New Roman" w:cs="Times New Roman"/>
          <w:b/>
          <w:sz w:val="24"/>
          <w:szCs w:val="24"/>
          <w:lang w:val="en-US" w:eastAsia="de-DE"/>
        </w:rPr>
        <w:tab/>
      </w:r>
    </w:p>
    <w:p w14:paraId="6C125AC6" w14:textId="77777777" w:rsidR="00733CA7" w:rsidRPr="003D6C5D" w:rsidRDefault="00733CA7" w:rsidP="0071390A">
      <w:pPr>
        <w:keepNext/>
        <w:keepLines/>
        <w:tabs>
          <w:tab w:val="num" w:pos="360"/>
        </w:tabs>
        <w:spacing w:before="0" w:after="0" w:line="360" w:lineRule="auto"/>
        <w:jc w:val="both"/>
        <w:outlineLvl w:val="1"/>
        <w:rPr>
          <w:rFonts w:ascii="Times New Roman" w:eastAsiaTheme="majorEastAsia" w:hAnsi="Times New Roman" w:cs="Times New Roman"/>
          <w:b/>
          <w:bCs/>
          <w:sz w:val="24"/>
          <w:szCs w:val="24"/>
          <w:lang w:val="en-US" w:eastAsia="de-DE"/>
        </w:rPr>
      </w:pPr>
    </w:p>
    <w:p w14:paraId="17314AF4" w14:textId="77777777" w:rsidR="00733CA7" w:rsidRPr="003D6C5D" w:rsidRDefault="00733CA7" w:rsidP="0071390A">
      <w:pPr>
        <w:keepNext/>
        <w:keepLines/>
        <w:tabs>
          <w:tab w:val="num" w:pos="360"/>
        </w:tabs>
        <w:spacing w:before="0" w:after="0" w:line="360" w:lineRule="auto"/>
        <w:jc w:val="both"/>
        <w:outlineLvl w:val="1"/>
        <w:rPr>
          <w:rFonts w:ascii="Times New Roman" w:eastAsiaTheme="majorEastAsia" w:hAnsi="Times New Roman" w:cs="Times New Roman"/>
          <w:b/>
          <w:bCs/>
          <w:sz w:val="24"/>
          <w:szCs w:val="24"/>
          <w:lang w:val="en-US" w:eastAsia="de-DE"/>
        </w:rPr>
      </w:pPr>
      <w:r w:rsidRPr="003D6C5D">
        <w:rPr>
          <w:rFonts w:ascii="Times New Roman" w:eastAsiaTheme="majorEastAsia" w:hAnsi="Times New Roman" w:cs="Times New Roman"/>
          <w:b/>
          <w:bCs/>
          <w:sz w:val="24"/>
          <w:szCs w:val="24"/>
          <w:lang w:val="en-US" w:eastAsia="de-DE"/>
        </w:rPr>
        <w:t>Introduction</w:t>
      </w:r>
    </w:p>
    <w:p w14:paraId="59153134" w14:textId="77777777" w:rsidR="00733CA7" w:rsidRPr="003D6C5D" w:rsidRDefault="00733CA7" w:rsidP="0071390A">
      <w:pPr>
        <w:spacing w:before="0" w:after="0" w:line="360" w:lineRule="auto"/>
        <w:ind w:firstLine="426"/>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On the financial market, trading recommendations are common publications for individual investors prepared by brokerage houses and other financial institutions. However, they arouse ambivalent feelings of traders because on the one hand they suggest potentially profitable market set-ups free of charge (gratuitously?) and on the other hand their historical results are rather poor and discredit the skills of analysts. Due to unfavorable opinions, the recommendations should evolve towards the improvement of their efficiency. Similarly, the regulations should be changed to force better quality in recommending the investments. That is why the authors focused the research on the assessment of the recommendation quality of the companies listed on the Warsaw Stock Exchange (WSE). The authors checked if the quality changed and improved over the years and if the regulations evolved towards providing the investors the reliable source of recommendations. Additionally, the profitability of various recommendation-based actions done in Polish stock market was assed as well.</w:t>
      </w:r>
    </w:p>
    <w:p w14:paraId="1D0D8B6F" w14:textId="77777777" w:rsidR="00733CA7" w:rsidRPr="003D6C5D" w:rsidRDefault="00733CA7" w:rsidP="008A2D4B">
      <w:pPr>
        <w:spacing w:before="0" w:after="0" w:line="360" w:lineRule="auto"/>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The authors verified the hypothesis: The quality of the recommenda</w:t>
      </w:r>
      <w:r>
        <w:rPr>
          <w:rFonts w:ascii="Times New Roman" w:hAnsi="Times New Roman" w:cs="Times New Roman"/>
          <w:sz w:val="24"/>
          <w:szCs w:val="24"/>
          <w:lang w:val="en-US" w:eastAsia="de-DE"/>
        </w:rPr>
        <w:t>tions is low and is not improving</w:t>
      </w:r>
      <w:r w:rsidRPr="003D6C5D">
        <w:rPr>
          <w:rFonts w:ascii="Times New Roman" w:hAnsi="Times New Roman" w:cs="Times New Roman"/>
          <w:sz w:val="24"/>
          <w:szCs w:val="24"/>
          <w:lang w:val="en-US" w:eastAsia="de-DE"/>
        </w:rPr>
        <w:t xml:space="preserve"> on the basis of historical results. They </w:t>
      </w:r>
      <w:r>
        <w:rPr>
          <w:rFonts w:ascii="Times New Roman" w:hAnsi="Times New Roman" w:cs="Times New Roman"/>
          <w:sz w:val="24"/>
          <w:szCs w:val="24"/>
          <w:lang w:val="en-US" w:eastAsia="de-DE"/>
        </w:rPr>
        <w:t>also teste</w:t>
      </w:r>
      <w:r w:rsidRPr="003D6C5D">
        <w:rPr>
          <w:rFonts w:ascii="Times New Roman" w:hAnsi="Times New Roman" w:cs="Times New Roman"/>
          <w:sz w:val="24"/>
          <w:szCs w:val="24"/>
          <w:lang w:val="en-US" w:eastAsia="de-DE"/>
        </w:rPr>
        <w:t>d two subsidiary</w:t>
      </w:r>
      <w:r w:rsidR="008A2D4B">
        <w:rPr>
          <w:rFonts w:ascii="Times New Roman" w:hAnsi="Times New Roman" w:cs="Times New Roman"/>
          <w:sz w:val="24"/>
          <w:szCs w:val="24"/>
          <w:lang w:val="en-US" w:eastAsia="de-DE"/>
        </w:rPr>
        <w:t xml:space="preserve"> </w:t>
      </w:r>
      <w:r w:rsidRPr="003D6C5D">
        <w:rPr>
          <w:rFonts w:ascii="Times New Roman" w:hAnsi="Times New Roman" w:cs="Times New Roman"/>
          <w:sz w:val="24"/>
          <w:szCs w:val="24"/>
          <w:lang w:val="en-US" w:eastAsia="de-DE"/>
        </w:rPr>
        <w:t>hypothesis: The first one – among all recommenders, there are the leaders who are able to achieve stable and satisfactory long-term results, and the second one – the law regulations concerning the r</w:t>
      </w:r>
      <w:r w:rsidR="00DF6220">
        <w:rPr>
          <w:rFonts w:ascii="Times New Roman" w:hAnsi="Times New Roman" w:cs="Times New Roman"/>
          <w:sz w:val="24"/>
          <w:szCs w:val="24"/>
          <w:lang w:val="en-US" w:eastAsia="de-DE"/>
        </w:rPr>
        <w:t xml:space="preserve">ecommendations are not changed </w:t>
      </w:r>
      <w:r w:rsidRPr="003D6C5D">
        <w:rPr>
          <w:rFonts w:ascii="Times New Roman" w:hAnsi="Times New Roman" w:cs="Times New Roman"/>
          <w:sz w:val="24"/>
          <w:szCs w:val="24"/>
          <w:lang w:val="en-US" w:eastAsia="de-DE"/>
        </w:rPr>
        <w:t>despite long-term mediocre quality.</w:t>
      </w:r>
    </w:p>
    <w:p w14:paraId="2BAAD840" w14:textId="77777777" w:rsidR="00733CA7" w:rsidRPr="003D6C5D" w:rsidRDefault="00733CA7" w:rsidP="0071390A">
      <w:pPr>
        <w:spacing w:before="0" w:after="0" w:line="360" w:lineRule="auto"/>
        <w:jc w:val="both"/>
        <w:rPr>
          <w:rFonts w:ascii="Calibri" w:hAnsi="Calibri"/>
          <w:lang w:val="en-US" w:eastAsia="de-DE"/>
        </w:rPr>
      </w:pPr>
    </w:p>
    <w:p w14:paraId="5436C832" w14:textId="77777777" w:rsidR="00733CA7" w:rsidRPr="007641DB" w:rsidRDefault="00733CA7" w:rsidP="0071390A">
      <w:pPr>
        <w:spacing w:before="0" w:after="0" w:line="360" w:lineRule="auto"/>
        <w:jc w:val="both"/>
        <w:rPr>
          <w:rFonts w:ascii="Times New Roman" w:hAnsi="Times New Roman" w:cs="Times New Roman"/>
          <w:b/>
          <w:sz w:val="24"/>
          <w:szCs w:val="24"/>
          <w:lang w:val="en-US" w:eastAsia="de-DE"/>
        </w:rPr>
      </w:pPr>
      <w:r w:rsidRPr="003D6C5D">
        <w:rPr>
          <w:rFonts w:ascii="Times New Roman" w:hAnsi="Times New Roman" w:cs="Times New Roman"/>
          <w:b/>
          <w:sz w:val="24"/>
          <w:szCs w:val="24"/>
          <w:lang w:val="en-US" w:eastAsia="de-DE"/>
        </w:rPr>
        <w:lastRenderedPageBreak/>
        <w:t>Brokerage recommendations types and effic</w:t>
      </w:r>
      <w:r>
        <w:rPr>
          <w:rFonts w:ascii="Times New Roman" w:hAnsi="Times New Roman" w:cs="Times New Roman"/>
          <w:b/>
          <w:sz w:val="24"/>
          <w:szCs w:val="24"/>
          <w:lang w:val="en-US" w:eastAsia="de-DE"/>
        </w:rPr>
        <w:t>iency and the regulation of law</w:t>
      </w:r>
    </w:p>
    <w:p w14:paraId="54AB01CD" w14:textId="5C835386" w:rsidR="00733CA7" w:rsidRPr="003D6C5D" w:rsidRDefault="00733CA7" w:rsidP="0071390A">
      <w:pPr>
        <w:spacing w:before="0" w:after="0" w:line="360" w:lineRule="auto"/>
        <w:ind w:firstLine="426"/>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 xml:space="preserve">The term ‘Brokerage Recommendation’ was introduced in 2005 in </w:t>
      </w:r>
      <w:r w:rsidR="00EF587E">
        <w:rPr>
          <w:rFonts w:ascii="Times New Roman" w:hAnsi="Times New Roman" w:cs="Times New Roman"/>
          <w:sz w:val="24"/>
          <w:szCs w:val="24"/>
          <w:lang w:val="en-US" w:eastAsia="de-DE"/>
        </w:rPr>
        <w:t>the</w:t>
      </w:r>
      <w:r w:rsidR="006333D6">
        <w:rPr>
          <w:rFonts w:ascii="Times New Roman" w:hAnsi="Times New Roman" w:cs="Times New Roman"/>
          <w:sz w:val="24"/>
          <w:szCs w:val="24"/>
          <w:lang w:val="en-US" w:eastAsia="de-DE"/>
        </w:rPr>
        <w:t xml:space="preserve"> Regulation of</w:t>
      </w:r>
      <w:r w:rsidR="00EF587E">
        <w:rPr>
          <w:rFonts w:ascii="Times New Roman" w:hAnsi="Times New Roman" w:cs="Times New Roman"/>
          <w:sz w:val="24"/>
          <w:szCs w:val="24"/>
          <w:lang w:val="en-US" w:eastAsia="de-DE"/>
        </w:rPr>
        <w:t xml:space="preserve"> </w:t>
      </w:r>
      <w:r w:rsidR="00D441B3">
        <w:rPr>
          <w:rFonts w:ascii="Times New Roman" w:hAnsi="Times New Roman" w:cs="Times New Roman"/>
          <w:sz w:val="24"/>
          <w:szCs w:val="24"/>
          <w:lang w:val="en-US" w:eastAsia="de-DE"/>
        </w:rPr>
        <w:t>the Minister of Finance</w:t>
      </w:r>
      <w:r w:rsidRPr="003D6C5D">
        <w:rPr>
          <w:rFonts w:ascii="Times New Roman" w:hAnsi="Times New Roman" w:cs="Times New Roman"/>
          <w:sz w:val="24"/>
          <w:szCs w:val="24"/>
          <w:lang w:val="en-US" w:eastAsia="de-DE"/>
        </w:rPr>
        <w:t xml:space="preserve">. </w:t>
      </w:r>
      <w:r w:rsidR="004D1697">
        <w:rPr>
          <w:rFonts w:ascii="Times New Roman" w:hAnsi="Times New Roman" w:cs="Times New Roman"/>
          <w:sz w:val="24"/>
          <w:szCs w:val="24"/>
          <w:lang w:val="en-US" w:eastAsia="de-DE"/>
        </w:rPr>
        <w:t>It</w:t>
      </w:r>
      <w:r w:rsidR="009A4CDC">
        <w:rPr>
          <w:rFonts w:ascii="Times New Roman" w:hAnsi="Times New Roman" w:cs="Times New Roman"/>
          <w:sz w:val="24"/>
          <w:szCs w:val="24"/>
          <w:lang w:val="en-US" w:eastAsia="de-DE"/>
        </w:rPr>
        <w:t xml:space="preserve"> defines </w:t>
      </w:r>
      <w:r w:rsidRPr="003D6C5D">
        <w:rPr>
          <w:rFonts w:ascii="Times New Roman" w:hAnsi="Times New Roman" w:cs="Times New Roman"/>
          <w:sz w:val="24"/>
          <w:szCs w:val="24"/>
          <w:lang w:val="en-US" w:eastAsia="de-DE"/>
        </w:rPr>
        <w:t>the recommen</w:t>
      </w:r>
      <w:r w:rsidR="004D1697">
        <w:rPr>
          <w:rFonts w:ascii="Times New Roman" w:hAnsi="Times New Roman" w:cs="Times New Roman"/>
          <w:sz w:val="24"/>
          <w:szCs w:val="24"/>
          <w:lang w:val="en-US" w:eastAsia="de-DE"/>
        </w:rPr>
        <w:t xml:space="preserve">dations term as well as brokers </w:t>
      </w:r>
      <w:r w:rsidRPr="003D6C5D">
        <w:rPr>
          <w:rFonts w:ascii="Times New Roman" w:hAnsi="Times New Roman" w:cs="Times New Roman"/>
          <w:sz w:val="24"/>
          <w:szCs w:val="24"/>
          <w:lang w:val="en-US" w:eastAsia="de-DE"/>
        </w:rPr>
        <w:t>responsibility and all the financial instruments bein</w:t>
      </w:r>
      <w:r w:rsidR="005B05C1">
        <w:rPr>
          <w:rFonts w:ascii="Times New Roman" w:hAnsi="Times New Roman" w:cs="Times New Roman"/>
          <w:sz w:val="24"/>
          <w:szCs w:val="24"/>
          <w:lang w:val="en-US" w:eastAsia="de-DE"/>
        </w:rPr>
        <w:t>g the object of recommendations</w:t>
      </w:r>
      <w:r w:rsidRPr="003D6C5D">
        <w:rPr>
          <w:rFonts w:ascii="Times New Roman" w:hAnsi="Times New Roman" w:cs="Times New Roman"/>
          <w:sz w:val="24"/>
          <w:szCs w:val="24"/>
          <w:lang w:val="en-US" w:eastAsia="de-DE"/>
        </w:rPr>
        <w:t xml:space="preserve"> </w:t>
      </w:r>
      <w:r w:rsidR="005B05C1">
        <w:rPr>
          <w:rFonts w:ascii="Times New Roman" w:hAnsi="Times New Roman" w:cs="Times New Roman"/>
          <w:sz w:val="24"/>
          <w:szCs w:val="24"/>
          <w:lang w:val="en-US" w:eastAsia="de-DE"/>
        </w:rPr>
        <w:t>(</w:t>
      </w:r>
      <w:r w:rsidRPr="007A0290">
        <w:rPr>
          <w:rFonts w:ascii="Times New Roman" w:hAnsi="Times New Roman" w:cs="Times New Roman"/>
          <w:sz w:val="24"/>
          <w:szCs w:val="24"/>
          <w:lang w:val="en-US" w:eastAsia="de-DE"/>
        </w:rPr>
        <w:t xml:space="preserve">Regulation </w:t>
      </w:r>
      <w:r w:rsidR="005B05C1">
        <w:rPr>
          <w:rFonts w:ascii="Times New Roman" w:hAnsi="Times New Roman" w:cs="Times New Roman"/>
          <w:sz w:val="24"/>
          <w:szCs w:val="24"/>
          <w:lang w:val="en-US" w:eastAsia="de-DE"/>
        </w:rPr>
        <w:t xml:space="preserve">of the Minister of Finance </w:t>
      </w:r>
      <w:r w:rsidRPr="007A0290">
        <w:rPr>
          <w:rFonts w:ascii="Times New Roman" w:hAnsi="Times New Roman" w:cs="Times New Roman"/>
          <w:sz w:val="24"/>
          <w:szCs w:val="24"/>
          <w:lang w:val="en-US" w:eastAsia="de-DE"/>
        </w:rPr>
        <w:t>2005</w:t>
      </w:r>
      <w:r w:rsidRPr="003D6C5D">
        <w:rPr>
          <w:rFonts w:ascii="Times New Roman" w:hAnsi="Times New Roman" w:cs="Times New Roman"/>
          <w:sz w:val="24"/>
          <w:szCs w:val="24"/>
          <w:lang w:val="en-US" w:eastAsia="de-DE"/>
        </w:rPr>
        <w:t xml:space="preserve">). It is worth noting that in spite of poor quality of recommendations being proved by research since 2008, the law has not been changed so far. </w:t>
      </w:r>
    </w:p>
    <w:p w14:paraId="3F70F4EF" w14:textId="77777777" w:rsidR="00733CA7" w:rsidRPr="003D6C5D" w:rsidRDefault="00733CA7" w:rsidP="0071390A">
      <w:pPr>
        <w:spacing w:before="0" w:after="0" w:line="360" w:lineRule="auto"/>
        <w:ind w:firstLine="426"/>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According to the regulation, every report, analysis and/or information that either encourages or suggests a certain investment-related behavior, affecting one or many financial instruments or issuer can be called a recommendation. If an opinion about present or future costs includes a direct suggestion to take an</w:t>
      </w:r>
      <w:r w:rsidR="005C397F">
        <w:rPr>
          <w:rFonts w:ascii="Times New Roman" w:hAnsi="Times New Roman" w:cs="Times New Roman"/>
          <w:sz w:val="24"/>
          <w:szCs w:val="24"/>
          <w:lang w:val="en-US" w:eastAsia="de-DE"/>
        </w:rPr>
        <w:t xml:space="preserve"> investment-related action,</w:t>
      </w:r>
      <w:r w:rsidRPr="003D6C5D">
        <w:rPr>
          <w:rFonts w:ascii="Times New Roman" w:hAnsi="Times New Roman" w:cs="Times New Roman"/>
          <w:sz w:val="24"/>
          <w:szCs w:val="24"/>
          <w:lang w:val="en-US" w:eastAsia="de-DE"/>
        </w:rPr>
        <w:t xml:space="preserve"> it can also be called a recommen</w:t>
      </w:r>
      <w:r w:rsidR="005B05C1">
        <w:rPr>
          <w:rFonts w:ascii="Times New Roman" w:hAnsi="Times New Roman" w:cs="Times New Roman"/>
          <w:sz w:val="24"/>
          <w:szCs w:val="24"/>
          <w:lang w:val="en-US" w:eastAsia="de-DE"/>
        </w:rPr>
        <w:t>dation (</w:t>
      </w:r>
      <w:r w:rsidRPr="003D6C5D">
        <w:rPr>
          <w:rFonts w:ascii="Times New Roman" w:hAnsi="Times New Roman" w:cs="Times New Roman"/>
          <w:sz w:val="24"/>
          <w:szCs w:val="24"/>
          <w:lang w:val="en-US" w:eastAsia="de-DE"/>
        </w:rPr>
        <w:t xml:space="preserve">Regulation </w:t>
      </w:r>
      <w:r w:rsidR="005B05C1">
        <w:rPr>
          <w:rFonts w:ascii="Times New Roman" w:hAnsi="Times New Roman" w:cs="Times New Roman"/>
          <w:sz w:val="24"/>
          <w:szCs w:val="24"/>
          <w:lang w:val="en-US" w:eastAsia="de-DE"/>
        </w:rPr>
        <w:t>of the Minister of Fi</w:t>
      </w:r>
      <w:r w:rsidR="00D73869">
        <w:rPr>
          <w:rFonts w:ascii="Times New Roman" w:hAnsi="Times New Roman" w:cs="Times New Roman"/>
          <w:sz w:val="24"/>
          <w:szCs w:val="24"/>
          <w:lang w:val="en-US" w:eastAsia="de-DE"/>
        </w:rPr>
        <w:t>n</w:t>
      </w:r>
      <w:r w:rsidR="005B05C1">
        <w:rPr>
          <w:rFonts w:ascii="Times New Roman" w:hAnsi="Times New Roman" w:cs="Times New Roman"/>
          <w:sz w:val="24"/>
          <w:szCs w:val="24"/>
          <w:lang w:val="en-US" w:eastAsia="de-DE"/>
        </w:rPr>
        <w:t xml:space="preserve">ance </w:t>
      </w:r>
      <w:r w:rsidRPr="003D6C5D">
        <w:rPr>
          <w:rFonts w:ascii="Times New Roman" w:hAnsi="Times New Roman" w:cs="Times New Roman"/>
          <w:sz w:val="24"/>
          <w:szCs w:val="24"/>
          <w:lang w:val="en-US" w:eastAsia="de-DE"/>
        </w:rPr>
        <w:t>2005</w:t>
      </w:r>
      <w:r w:rsidRPr="003D6C5D">
        <w:rPr>
          <w:rFonts w:ascii="Times New Roman" w:hAnsi="Times New Roman" w:cs="Times New Roman"/>
          <w:i/>
          <w:sz w:val="24"/>
          <w:szCs w:val="24"/>
          <w:lang w:val="en-US" w:eastAsia="de-DE"/>
        </w:rPr>
        <w:t>)</w:t>
      </w:r>
    </w:p>
    <w:p w14:paraId="6B713808" w14:textId="77777777" w:rsidR="00733CA7" w:rsidRPr="003D6C5D" w:rsidRDefault="00733CA7" w:rsidP="0071390A">
      <w:pPr>
        <w:spacing w:before="0" w:after="0" w:line="360" w:lineRule="auto"/>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 xml:space="preserve">The law directly defines who is allowed to issue a brokerage recommendation, those are: licensed stockbrokers, licensed financial advisors, and financial institutions authorized to publish such recommendations. </w:t>
      </w:r>
    </w:p>
    <w:p w14:paraId="717F887C" w14:textId="77777777" w:rsidR="00733CA7" w:rsidRPr="003D6C5D" w:rsidRDefault="00733CA7" w:rsidP="00AB015F">
      <w:pPr>
        <w:spacing w:before="0" w:after="0" w:line="360" w:lineRule="auto"/>
        <w:ind w:firstLine="426"/>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Recommendation prepared by financial analysts should be based on at least two methods of financial instrument assessmen</w:t>
      </w:r>
      <w:r w:rsidR="00A363BD">
        <w:rPr>
          <w:rFonts w:ascii="Times New Roman" w:hAnsi="Times New Roman" w:cs="Times New Roman"/>
          <w:sz w:val="24"/>
          <w:szCs w:val="24"/>
          <w:lang w:val="en-US" w:eastAsia="de-DE"/>
        </w:rPr>
        <w:t>t. These two methods include a</w:t>
      </w:r>
      <w:r w:rsidRPr="003D6C5D">
        <w:rPr>
          <w:rFonts w:ascii="Times New Roman" w:hAnsi="Times New Roman" w:cs="Times New Roman"/>
          <w:sz w:val="24"/>
          <w:szCs w:val="24"/>
          <w:lang w:val="en-US" w:eastAsia="de-DE"/>
        </w:rPr>
        <w:t xml:space="preserve"> discounted cash flow (DCF) and</w:t>
      </w:r>
      <w:r w:rsidR="000F3966">
        <w:rPr>
          <w:rFonts w:ascii="Times New Roman" w:hAnsi="Times New Roman" w:cs="Times New Roman"/>
          <w:sz w:val="24"/>
          <w:szCs w:val="24"/>
          <w:lang w:val="en-US" w:eastAsia="de-DE"/>
        </w:rPr>
        <w:t xml:space="preserve"> a</w:t>
      </w:r>
      <w:r w:rsidRPr="003D6C5D">
        <w:rPr>
          <w:rFonts w:ascii="Times New Roman" w:hAnsi="Times New Roman" w:cs="Times New Roman"/>
          <w:sz w:val="24"/>
          <w:szCs w:val="24"/>
          <w:lang w:val="en-US" w:eastAsia="de-DE"/>
        </w:rPr>
        <w:t xml:space="preserve"> comparative analysis. Discounted cash flow analysis provides an estimation of all present an</w:t>
      </w:r>
      <w:r w:rsidR="00C64E98">
        <w:rPr>
          <w:rFonts w:ascii="Times New Roman" w:hAnsi="Times New Roman" w:cs="Times New Roman"/>
          <w:sz w:val="24"/>
          <w:szCs w:val="24"/>
          <w:lang w:val="en-US" w:eastAsia="de-DE"/>
        </w:rPr>
        <w:t xml:space="preserve">d future cash flow and </w:t>
      </w:r>
      <w:r w:rsidR="005050EF">
        <w:rPr>
          <w:rFonts w:ascii="Times New Roman" w:hAnsi="Times New Roman" w:cs="Times New Roman"/>
          <w:sz w:val="24"/>
          <w:szCs w:val="24"/>
          <w:lang w:val="en-US" w:eastAsia="de-DE"/>
        </w:rPr>
        <w:t>also</w:t>
      </w:r>
      <w:r w:rsidRPr="003D6C5D">
        <w:rPr>
          <w:rFonts w:ascii="Times New Roman" w:hAnsi="Times New Roman" w:cs="Times New Roman"/>
          <w:sz w:val="24"/>
          <w:szCs w:val="24"/>
          <w:lang w:val="en-US" w:eastAsia="de-DE"/>
        </w:rPr>
        <w:t xml:space="preserve"> their present net value. Its main benefit is the fact that it includes all future financial results. However</w:t>
      </w:r>
      <w:r w:rsidR="009C6D83">
        <w:rPr>
          <w:rFonts w:ascii="Times New Roman" w:hAnsi="Times New Roman" w:cs="Times New Roman"/>
          <w:sz w:val="24"/>
          <w:szCs w:val="24"/>
          <w:lang w:val="en-US" w:eastAsia="de-DE"/>
        </w:rPr>
        <w:t>, the weakness</w:t>
      </w:r>
      <w:r w:rsidRPr="003D6C5D">
        <w:rPr>
          <w:rFonts w:ascii="Times New Roman" w:hAnsi="Times New Roman" w:cs="Times New Roman"/>
          <w:sz w:val="24"/>
          <w:szCs w:val="24"/>
          <w:lang w:val="en-US" w:eastAsia="de-DE"/>
        </w:rPr>
        <w:t xml:space="preserve"> is that it relies too much on the analyst’s subjective opinion and various parameters in it. As it turns out, even the slightest fluctuation in one of the parameters (ex. rate of risk, projected revenue growth, future price of raw materials) can result in </w:t>
      </w:r>
      <w:r w:rsidR="00E679C9">
        <w:rPr>
          <w:rFonts w:ascii="Times New Roman" w:hAnsi="Times New Roman" w:cs="Times New Roman"/>
          <w:sz w:val="24"/>
          <w:szCs w:val="24"/>
          <w:lang w:val="en-US" w:eastAsia="de-DE"/>
        </w:rPr>
        <w:t xml:space="preserve">a </w:t>
      </w:r>
      <w:r w:rsidRPr="003D6C5D">
        <w:rPr>
          <w:rFonts w:ascii="Times New Roman" w:hAnsi="Times New Roman" w:cs="Times New Roman"/>
          <w:sz w:val="24"/>
          <w:szCs w:val="24"/>
          <w:lang w:val="en-US" w:eastAsia="de-DE"/>
        </w:rPr>
        <w:t>huge change of the share’s final assessment.</w:t>
      </w:r>
      <w:r w:rsidR="00752AA0">
        <w:rPr>
          <w:rFonts w:ascii="Times New Roman" w:hAnsi="Times New Roman" w:cs="Times New Roman"/>
          <w:sz w:val="24"/>
          <w:szCs w:val="24"/>
          <w:lang w:val="en-US" w:eastAsia="de-DE"/>
        </w:rPr>
        <w:t xml:space="preserve"> In comparison</w:t>
      </w:r>
      <w:r w:rsidRPr="003D6C5D">
        <w:rPr>
          <w:rFonts w:ascii="Times New Roman" w:hAnsi="Times New Roman" w:cs="Times New Roman"/>
          <w:sz w:val="24"/>
          <w:szCs w:val="24"/>
          <w:lang w:val="en-US" w:eastAsia="de-DE"/>
        </w:rPr>
        <w:t xml:space="preserve">, the comparative analysis offers an estimation of the company’s shares based on how well the company fares on the market when compared to </w:t>
      </w:r>
      <w:r w:rsidR="00BB1BD6">
        <w:rPr>
          <w:rFonts w:ascii="Times New Roman" w:hAnsi="Times New Roman" w:cs="Times New Roman"/>
          <w:sz w:val="24"/>
          <w:szCs w:val="24"/>
          <w:lang w:val="en-US" w:eastAsia="de-DE"/>
        </w:rPr>
        <w:t>similar companies</w:t>
      </w:r>
      <w:r w:rsidRPr="003D6C5D">
        <w:rPr>
          <w:rFonts w:ascii="Times New Roman" w:hAnsi="Times New Roman" w:cs="Times New Roman"/>
          <w:sz w:val="24"/>
          <w:szCs w:val="24"/>
          <w:lang w:val="en-US" w:eastAsia="de-DE"/>
        </w:rPr>
        <w:t>. Nonetheless, all analysts provide an estimate based on both the DCF and the comparative analysis as the two methods are parts of the Fundamental analysis. The technical analysis is not taken into account when a recommendation is given, which might be the reason why the quality of brokerage recommendations is</w:t>
      </w:r>
      <w:r w:rsidR="007171A5">
        <w:rPr>
          <w:rFonts w:ascii="Times New Roman" w:hAnsi="Times New Roman" w:cs="Times New Roman"/>
          <w:sz w:val="24"/>
          <w:szCs w:val="24"/>
          <w:lang w:val="en-US" w:eastAsia="de-DE"/>
        </w:rPr>
        <w:t xml:space="preserve"> so poor. B</w:t>
      </w:r>
      <w:r w:rsidRPr="003D6C5D">
        <w:rPr>
          <w:rFonts w:ascii="Times New Roman" w:hAnsi="Times New Roman" w:cs="Times New Roman"/>
          <w:sz w:val="24"/>
          <w:szCs w:val="24"/>
          <w:lang w:val="en-US" w:eastAsia="de-DE"/>
        </w:rPr>
        <w:t>ehavioral finance describing the investor’s actions</w:t>
      </w:r>
      <w:r w:rsidR="007171A5">
        <w:rPr>
          <w:rFonts w:ascii="Times New Roman" w:hAnsi="Times New Roman" w:cs="Times New Roman"/>
          <w:sz w:val="24"/>
          <w:szCs w:val="24"/>
          <w:lang w:val="en-US" w:eastAsia="de-DE"/>
        </w:rPr>
        <w:t xml:space="preserve"> is also not considered</w:t>
      </w:r>
      <w:r w:rsidRPr="003D6C5D">
        <w:rPr>
          <w:rFonts w:ascii="Times New Roman" w:hAnsi="Times New Roman" w:cs="Times New Roman"/>
          <w:sz w:val="24"/>
          <w:szCs w:val="24"/>
          <w:lang w:val="en-US" w:eastAsia="de-DE"/>
        </w:rPr>
        <w:t>, which in some cases can be questioned and called irrational, for example</w:t>
      </w:r>
      <w:r w:rsidR="00280ABA">
        <w:rPr>
          <w:rFonts w:ascii="Times New Roman" w:hAnsi="Times New Roman" w:cs="Times New Roman"/>
          <w:sz w:val="24"/>
          <w:szCs w:val="24"/>
          <w:lang w:val="en-US" w:eastAsia="de-DE"/>
        </w:rPr>
        <w:t>:</w:t>
      </w:r>
      <w:r w:rsidR="00AB015F">
        <w:rPr>
          <w:rFonts w:ascii="Times New Roman" w:hAnsi="Times New Roman" w:cs="Times New Roman"/>
          <w:sz w:val="24"/>
          <w:szCs w:val="24"/>
          <w:lang w:val="en-US" w:eastAsia="de-DE"/>
        </w:rPr>
        <w:t xml:space="preserve"> overreaction </w:t>
      </w:r>
      <w:r w:rsidRPr="003D6C5D">
        <w:rPr>
          <w:rFonts w:ascii="Times New Roman" w:hAnsi="Times New Roman" w:cs="Times New Roman"/>
          <w:sz w:val="24"/>
          <w:szCs w:val="24"/>
          <w:lang w:val="en-US" w:eastAsia="de-DE"/>
        </w:rPr>
        <w:t>(</w:t>
      </w:r>
      <w:r w:rsidR="00A57ED9">
        <w:rPr>
          <w:rFonts w:ascii="Times New Roman" w:hAnsi="Times New Roman" w:cs="Times New Roman"/>
          <w:sz w:val="24"/>
          <w:szCs w:val="24"/>
          <w:lang w:val="en-US" w:eastAsia="de-DE"/>
        </w:rPr>
        <w:t>Fama 1998</w:t>
      </w:r>
      <w:r w:rsidR="00E9304E">
        <w:rPr>
          <w:rFonts w:ascii="Times New Roman" w:hAnsi="Times New Roman" w:cs="Times New Roman"/>
          <w:sz w:val="24"/>
          <w:szCs w:val="24"/>
          <w:lang w:val="en-US" w:eastAsia="de-DE"/>
        </w:rPr>
        <w:t>;</w:t>
      </w:r>
      <w:r w:rsidR="00F02964">
        <w:rPr>
          <w:rFonts w:ascii="Times New Roman" w:hAnsi="Times New Roman" w:cs="Times New Roman"/>
          <w:sz w:val="24"/>
          <w:szCs w:val="24"/>
          <w:lang w:val="en-US" w:eastAsia="de-DE"/>
        </w:rPr>
        <w:t xml:space="preserve"> Armir, Gamzach 1998;</w:t>
      </w:r>
      <w:r w:rsidR="00E9304E">
        <w:rPr>
          <w:rFonts w:ascii="Times New Roman" w:hAnsi="Times New Roman" w:cs="Times New Roman"/>
          <w:sz w:val="24"/>
          <w:szCs w:val="24"/>
          <w:lang w:val="en-US" w:eastAsia="de-DE"/>
        </w:rPr>
        <w:t xml:space="preserve"> </w:t>
      </w:r>
      <w:r w:rsidR="00E9304E" w:rsidRPr="00AB5805">
        <w:rPr>
          <w:rFonts w:ascii="Times New Roman" w:hAnsi="Times New Roman" w:cs="Times New Roman"/>
          <w:sz w:val="24"/>
          <w:szCs w:val="24"/>
          <w:lang w:val="en-US" w:eastAsia="de-DE"/>
        </w:rPr>
        <w:t>Marsden A., VeeraraghavanM., Ye M 2008</w:t>
      </w:r>
      <w:r w:rsidRPr="003D6C5D">
        <w:rPr>
          <w:rFonts w:ascii="Times New Roman" w:hAnsi="Times New Roman" w:cs="Times New Roman"/>
          <w:sz w:val="24"/>
          <w:szCs w:val="24"/>
          <w:lang w:val="en-US" w:eastAsia="de-DE"/>
        </w:rPr>
        <w:t xml:space="preserve">), hearding </w:t>
      </w:r>
      <w:r w:rsidR="00E05C50">
        <w:rPr>
          <w:rFonts w:ascii="Times New Roman" w:hAnsi="Times New Roman" w:cs="Times New Roman"/>
          <w:sz w:val="24"/>
          <w:szCs w:val="24"/>
          <w:lang w:val="en-US" w:eastAsia="de-DE"/>
        </w:rPr>
        <w:t>behavio</w:t>
      </w:r>
      <w:r w:rsidRPr="003D6C5D">
        <w:rPr>
          <w:rFonts w:ascii="Times New Roman" w:hAnsi="Times New Roman" w:cs="Times New Roman"/>
          <w:sz w:val="24"/>
          <w:szCs w:val="24"/>
          <w:lang w:val="en-US" w:eastAsia="de-DE"/>
        </w:rPr>
        <w:t>rs (Campen</w:t>
      </w:r>
      <w:r w:rsidR="004F1FE4">
        <w:rPr>
          <w:rFonts w:ascii="Times New Roman" w:hAnsi="Times New Roman" w:cs="Times New Roman"/>
          <w:sz w:val="24"/>
          <w:szCs w:val="24"/>
          <w:lang w:val="en-US" w:eastAsia="de-DE"/>
        </w:rPr>
        <w:t>hout, van G. Verherstraeten,</w:t>
      </w:r>
      <w:r w:rsidRPr="003D6C5D">
        <w:rPr>
          <w:rFonts w:ascii="Times New Roman" w:hAnsi="Times New Roman" w:cs="Times New Roman"/>
          <w:sz w:val="24"/>
          <w:szCs w:val="24"/>
          <w:lang w:val="en-US" w:eastAsia="de-DE"/>
        </w:rPr>
        <w:t xml:space="preserve"> 2</w:t>
      </w:r>
      <w:r w:rsidR="00F02964">
        <w:rPr>
          <w:rFonts w:ascii="Times New Roman" w:hAnsi="Times New Roman" w:cs="Times New Roman"/>
          <w:sz w:val="24"/>
          <w:szCs w:val="24"/>
          <w:lang w:val="en-US" w:eastAsia="de-DE"/>
        </w:rPr>
        <w:t xml:space="preserve">010) , confirmation </w:t>
      </w:r>
      <w:r w:rsidR="00F02964">
        <w:rPr>
          <w:rFonts w:ascii="Times New Roman" w:hAnsi="Times New Roman" w:cs="Times New Roman"/>
          <w:sz w:val="24"/>
          <w:szCs w:val="24"/>
          <w:lang w:val="en-US" w:eastAsia="de-DE"/>
        </w:rPr>
        <w:lastRenderedPageBreak/>
        <w:t>bias (</w:t>
      </w:r>
      <w:r w:rsidR="0098192D">
        <w:rPr>
          <w:rFonts w:ascii="Times New Roman" w:hAnsi="Times New Roman" w:cs="Times New Roman"/>
          <w:sz w:val="24"/>
          <w:szCs w:val="24"/>
          <w:lang w:val="en-US" w:eastAsia="de-DE"/>
        </w:rPr>
        <w:t>Gu</w:t>
      </w:r>
      <w:r w:rsidR="009D1F58">
        <w:rPr>
          <w:rFonts w:ascii="Times New Roman" w:hAnsi="Times New Roman" w:cs="Times New Roman"/>
          <w:sz w:val="24"/>
          <w:szCs w:val="24"/>
          <w:lang w:val="en-US" w:eastAsia="de-DE"/>
        </w:rPr>
        <w:t>, Konana, Kumar</w:t>
      </w:r>
      <w:r w:rsidR="0098192D">
        <w:rPr>
          <w:rFonts w:ascii="Times New Roman" w:hAnsi="Times New Roman" w:cs="Times New Roman"/>
          <w:sz w:val="24"/>
          <w:szCs w:val="24"/>
          <w:lang w:val="en-US" w:eastAsia="de-DE"/>
        </w:rPr>
        <w:t>, Park, Raghunathan</w:t>
      </w:r>
      <w:r w:rsidR="009D1F58">
        <w:rPr>
          <w:rFonts w:ascii="Times New Roman" w:hAnsi="Times New Roman" w:cs="Times New Roman"/>
          <w:sz w:val="24"/>
          <w:szCs w:val="24"/>
          <w:lang w:val="en-US" w:eastAsia="de-DE"/>
        </w:rPr>
        <w:t xml:space="preserve"> </w:t>
      </w:r>
      <w:r w:rsidR="001E5494">
        <w:rPr>
          <w:rFonts w:ascii="Times New Roman" w:hAnsi="Times New Roman" w:cs="Times New Roman"/>
          <w:sz w:val="24"/>
          <w:szCs w:val="24"/>
          <w:lang w:val="en-US" w:eastAsia="de-DE"/>
        </w:rPr>
        <w:t>2013</w:t>
      </w:r>
      <w:r w:rsidRPr="003D6C5D">
        <w:rPr>
          <w:rFonts w:ascii="Times New Roman" w:hAnsi="Times New Roman" w:cs="Times New Roman"/>
          <w:sz w:val="24"/>
          <w:szCs w:val="24"/>
          <w:lang w:val="en-US" w:eastAsia="de-DE"/>
        </w:rPr>
        <w:t>),</w:t>
      </w:r>
      <w:r w:rsidR="00316489">
        <w:rPr>
          <w:rFonts w:ascii="Times New Roman" w:hAnsi="Times New Roman" w:cs="Times New Roman"/>
          <w:sz w:val="24"/>
          <w:szCs w:val="24"/>
          <w:lang w:val="en-US" w:eastAsia="de-DE"/>
        </w:rPr>
        <w:t xml:space="preserve"> overconfidence, loss aversion </w:t>
      </w:r>
      <w:r w:rsidRPr="003D6C5D">
        <w:rPr>
          <w:rFonts w:ascii="Times New Roman" w:hAnsi="Times New Roman" w:cs="Times New Roman"/>
          <w:sz w:val="24"/>
          <w:szCs w:val="24"/>
          <w:lang w:val="en-US" w:eastAsia="de-DE"/>
        </w:rPr>
        <w:t xml:space="preserve"> as well as a</w:t>
      </w:r>
      <w:r w:rsidR="00815F30">
        <w:rPr>
          <w:rFonts w:ascii="Times New Roman" w:hAnsi="Times New Roman" w:cs="Times New Roman"/>
          <w:sz w:val="24"/>
          <w:szCs w:val="24"/>
          <w:lang w:val="en-US" w:eastAsia="de-DE"/>
        </w:rPr>
        <w:t>nchoring (</w:t>
      </w:r>
      <w:r w:rsidR="0085790A">
        <w:rPr>
          <w:rFonts w:ascii="Times New Roman" w:hAnsi="Times New Roman" w:cs="Times New Roman"/>
          <w:sz w:val="24"/>
          <w:szCs w:val="24"/>
          <w:lang w:val="en-US" w:eastAsia="de-DE"/>
        </w:rPr>
        <w:t>Singh 2012</w:t>
      </w:r>
      <w:r w:rsidRPr="003D6C5D">
        <w:rPr>
          <w:rFonts w:ascii="Times New Roman" w:hAnsi="Times New Roman" w:cs="Times New Roman"/>
          <w:sz w:val="24"/>
          <w:szCs w:val="24"/>
          <w:lang w:val="en-US" w:eastAsia="de-DE"/>
        </w:rPr>
        <w:t>)</w:t>
      </w:r>
      <w:r w:rsidR="006C576F">
        <w:rPr>
          <w:rFonts w:ascii="Times New Roman" w:hAnsi="Times New Roman" w:cs="Times New Roman"/>
          <w:sz w:val="24"/>
          <w:szCs w:val="24"/>
          <w:lang w:val="en-US" w:eastAsia="de-DE"/>
        </w:rPr>
        <w:t>.</w:t>
      </w:r>
    </w:p>
    <w:p w14:paraId="44A3E75F" w14:textId="77777777" w:rsidR="00733CA7" w:rsidRPr="003D6C5D" w:rsidRDefault="00733CA7" w:rsidP="0071390A">
      <w:pPr>
        <w:spacing w:before="0" w:after="0" w:line="360" w:lineRule="auto"/>
        <w:ind w:firstLine="708"/>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 xml:space="preserve">The main goal behind each recommendation is identifying companies whose market value significantly differs from current market values, however their type indicates that the financial instrument’s cost will most likely change. </w:t>
      </w:r>
    </w:p>
    <w:p w14:paraId="5EEFF7C2" w14:textId="77777777" w:rsidR="00733CA7" w:rsidRPr="003D6C5D" w:rsidRDefault="00733CA7" w:rsidP="0071390A">
      <w:pPr>
        <w:spacing w:before="0" w:after="0" w:line="360" w:lineRule="auto"/>
        <w:ind w:firstLine="360"/>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In 2013,  Dąbrowski divided brokerage recommendation into three types:</w:t>
      </w:r>
    </w:p>
    <w:p w14:paraId="3700BBEC" w14:textId="7FECA06B" w:rsidR="00733CA7" w:rsidRPr="003D6C5D" w:rsidRDefault="00733CA7" w:rsidP="0071390A">
      <w:pPr>
        <w:numPr>
          <w:ilvl w:val="0"/>
          <w:numId w:val="1"/>
        </w:numPr>
        <w:spacing w:before="0" w:after="0" w:line="360" w:lineRule="auto"/>
        <w:contextualSpacing/>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 xml:space="preserve">Purchase recommendation: buy, accumulate, hold, </w:t>
      </w:r>
      <w:r w:rsidR="0000189D">
        <w:rPr>
          <w:rFonts w:ascii="Times New Roman" w:hAnsi="Times New Roman" w:cs="Times New Roman"/>
          <w:sz w:val="24"/>
          <w:szCs w:val="24"/>
          <w:lang w:val="en-US" w:eastAsia="de-DE"/>
        </w:rPr>
        <w:t>overweight</w:t>
      </w:r>
    </w:p>
    <w:p w14:paraId="32361C89" w14:textId="77777777" w:rsidR="00733CA7" w:rsidRPr="003D6C5D" w:rsidRDefault="00733CA7" w:rsidP="0071390A">
      <w:pPr>
        <w:numPr>
          <w:ilvl w:val="0"/>
          <w:numId w:val="1"/>
        </w:numPr>
        <w:spacing w:before="0" w:after="0" w:line="360" w:lineRule="auto"/>
        <w:contextualSpacing/>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Sale recommendation: sell, avoid, reduce</w:t>
      </w:r>
      <w:r w:rsidR="0000189D">
        <w:rPr>
          <w:rFonts w:ascii="Times New Roman" w:hAnsi="Times New Roman" w:cs="Times New Roman"/>
          <w:sz w:val="24"/>
          <w:szCs w:val="24"/>
          <w:lang w:val="en-US" w:eastAsia="de-DE"/>
        </w:rPr>
        <w:t>, underweight</w:t>
      </w:r>
    </w:p>
    <w:p w14:paraId="60F17867" w14:textId="77777777" w:rsidR="00733CA7" w:rsidRPr="003D6C5D" w:rsidRDefault="00733CA7" w:rsidP="0071390A">
      <w:pPr>
        <w:numPr>
          <w:ilvl w:val="0"/>
          <w:numId w:val="1"/>
        </w:numPr>
        <w:spacing w:before="0" w:after="0" w:line="360" w:lineRule="auto"/>
        <w:contextualSpacing/>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 xml:space="preserve">Dubious recommendation: estimation, above/below market, neutral, </w:t>
      </w:r>
    </w:p>
    <w:p w14:paraId="2AA4EFF2" w14:textId="766471BC" w:rsidR="00733CA7" w:rsidRPr="003D6C5D" w:rsidRDefault="00733CA7" w:rsidP="0071390A">
      <w:pPr>
        <w:spacing w:before="0" w:after="0" w:line="360" w:lineRule="auto"/>
        <w:ind w:firstLine="360"/>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After each published</w:t>
      </w:r>
      <w:r w:rsidR="002E260B">
        <w:rPr>
          <w:rFonts w:ascii="Times New Roman" w:hAnsi="Times New Roman" w:cs="Times New Roman"/>
          <w:sz w:val="24"/>
          <w:szCs w:val="24"/>
          <w:lang w:val="en-US" w:eastAsia="de-DE"/>
        </w:rPr>
        <w:t xml:space="preserve"> recommendation it is mandatory</w:t>
      </w:r>
      <w:r w:rsidRPr="003D6C5D">
        <w:rPr>
          <w:rFonts w:ascii="Times New Roman" w:hAnsi="Times New Roman" w:cs="Times New Roman"/>
          <w:sz w:val="24"/>
          <w:szCs w:val="24"/>
          <w:lang w:val="en-US" w:eastAsia="de-DE"/>
        </w:rPr>
        <w:t xml:space="preserve"> to familiarize oneself with every explanation located at the end of each financial r</w:t>
      </w:r>
      <w:r w:rsidR="00DA54DC">
        <w:rPr>
          <w:rFonts w:ascii="Times New Roman" w:hAnsi="Times New Roman" w:cs="Times New Roman"/>
          <w:sz w:val="24"/>
          <w:szCs w:val="24"/>
          <w:lang w:val="en-US" w:eastAsia="de-DE"/>
        </w:rPr>
        <w:t>eport. This must be done as</w:t>
      </w:r>
      <w:r w:rsidRPr="003D6C5D">
        <w:rPr>
          <w:rFonts w:ascii="Times New Roman" w:hAnsi="Times New Roman" w:cs="Times New Roman"/>
          <w:sz w:val="24"/>
          <w:szCs w:val="24"/>
          <w:lang w:val="en-US" w:eastAsia="de-DE"/>
        </w:rPr>
        <w:t xml:space="preserve"> each brokerage provides its own interpretation of the given analysis.</w:t>
      </w:r>
      <w:r>
        <w:rPr>
          <w:rFonts w:ascii="Times New Roman" w:hAnsi="Times New Roman" w:cs="Times New Roman"/>
          <w:sz w:val="24"/>
          <w:szCs w:val="24"/>
          <w:lang w:val="en-US" w:eastAsia="de-DE"/>
        </w:rPr>
        <w:t xml:space="preserve"> </w:t>
      </w:r>
      <w:r w:rsidRPr="003D6C5D">
        <w:rPr>
          <w:rFonts w:ascii="Times New Roman" w:hAnsi="Times New Roman" w:cs="Times New Roman"/>
          <w:sz w:val="24"/>
          <w:szCs w:val="24"/>
          <w:lang w:val="en-US" w:eastAsia="de-DE"/>
        </w:rPr>
        <w:t>For instance, a buy recommendation indicates that the analyst assumes that the profit gained will equal at least 15%. In case of accumulate recommendation, the return rate is between 5% and 15%, whereas hold recommendation indicates that it is between -5% and 5%. Sell recommendations are given out when analysts anticipate a loss over 15%. In case of reduce recommendation, the loss might be between 5% and 15%. Both sale and purchase recommendations are absolute, which means that the analyst is completely sure about the price it</w:t>
      </w:r>
      <w:r w:rsidR="000B1575">
        <w:rPr>
          <w:rFonts w:ascii="Times New Roman" w:hAnsi="Times New Roman" w:cs="Times New Roman"/>
          <w:sz w:val="24"/>
          <w:szCs w:val="24"/>
          <w:lang w:val="en-US" w:eastAsia="de-DE"/>
        </w:rPr>
        <w:t>self. Dubious (</w:t>
      </w:r>
      <w:r w:rsidRPr="003D6C5D">
        <w:rPr>
          <w:rFonts w:ascii="Times New Roman" w:hAnsi="Times New Roman" w:cs="Times New Roman"/>
          <w:sz w:val="24"/>
          <w:szCs w:val="24"/>
          <w:lang w:val="en-US" w:eastAsia="de-DE"/>
        </w:rPr>
        <w:t>sometimes called</w:t>
      </w:r>
      <w:r w:rsidR="000B1575">
        <w:rPr>
          <w:rFonts w:ascii="Times New Roman" w:hAnsi="Times New Roman" w:cs="Times New Roman"/>
          <w:sz w:val="24"/>
          <w:szCs w:val="24"/>
          <w:lang w:val="en-US" w:eastAsia="de-DE"/>
        </w:rPr>
        <w:t xml:space="preserve"> </w:t>
      </w:r>
      <w:r w:rsidRPr="003D6C5D">
        <w:rPr>
          <w:rFonts w:ascii="Times New Roman" w:hAnsi="Times New Roman" w:cs="Times New Roman"/>
          <w:sz w:val="24"/>
          <w:szCs w:val="24"/>
          <w:lang w:val="en-US" w:eastAsia="de-DE"/>
        </w:rPr>
        <w:t>relative</w:t>
      </w:r>
      <w:r w:rsidR="000B1575">
        <w:rPr>
          <w:rFonts w:ascii="Times New Roman" w:hAnsi="Times New Roman" w:cs="Times New Roman"/>
          <w:sz w:val="24"/>
          <w:szCs w:val="24"/>
          <w:lang w:val="en-US" w:eastAsia="de-DE"/>
        </w:rPr>
        <w:t>)</w:t>
      </w:r>
      <w:r w:rsidRPr="003D6C5D">
        <w:rPr>
          <w:rFonts w:ascii="Times New Roman" w:hAnsi="Times New Roman" w:cs="Times New Roman"/>
          <w:sz w:val="24"/>
          <w:szCs w:val="24"/>
          <w:lang w:val="en-US" w:eastAsia="de-DE"/>
        </w:rPr>
        <w:t xml:space="preserve"> recommendations are connected to the investment portfolio and its usage, and therefore should not be the only way for taking any investment decisions. After investigating historical data it is easy to see that brokerage houses are using the trend in their favor i.e. if the share price is rising then the brokerage house issues a buy recommendation, a sell recommendation might appear only if the security belongs to a breaking down trend and the brokerage house previously issued a buy recommendation (Żelezik 2014)</w:t>
      </w:r>
    </w:p>
    <w:p w14:paraId="1495D94E" w14:textId="77777777" w:rsidR="00733CA7" w:rsidRPr="003D6C5D" w:rsidRDefault="00A71F7C" w:rsidP="0071390A">
      <w:pPr>
        <w:spacing w:before="0" w:after="0" w:line="360" w:lineRule="auto"/>
        <w:ind w:firstLine="284"/>
        <w:jc w:val="both"/>
        <w:rPr>
          <w:rFonts w:ascii="Times New Roman" w:hAnsi="Times New Roman" w:cs="Times New Roman"/>
          <w:sz w:val="24"/>
          <w:szCs w:val="24"/>
          <w:lang w:val="en-US" w:eastAsia="de-DE"/>
        </w:rPr>
      </w:pPr>
      <w:r>
        <w:rPr>
          <w:rFonts w:ascii="Times New Roman" w:hAnsi="Times New Roman" w:cs="Times New Roman"/>
          <w:sz w:val="24"/>
          <w:szCs w:val="24"/>
          <w:lang w:val="en-US" w:eastAsia="de-DE"/>
        </w:rPr>
        <w:t xml:space="preserve">Recent research </w:t>
      </w:r>
      <w:r w:rsidR="00733CA7" w:rsidRPr="003D6C5D">
        <w:rPr>
          <w:rFonts w:ascii="Times New Roman" w:hAnsi="Times New Roman" w:cs="Times New Roman"/>
          <w:sz w:val="24"/>
          <w:szCs w:val="24"/>
          <w:lang w:val="en-US" w:eastAsia="de-DE"/>
        </w:rPr>
        <w:t>proves that analysts provide more purc</w:t>
      </w:r>
      <w:r w:rsidR="006B0506">
        <w:rPr>
          <w:rFonts w:ascii="Times New Roman" w:hAnsi="Times New Roman" w:cs="Times New Roman"/>
          <w:sz w:val="24"/>
          <w:szCs w:val="24"/>
          <w:lang w:val="en-US" w:eastAsia="de-DE"/>
        </w:rPr>
        <w:t xml:space="preserve">hase recommendations (Papakroni 2012; </w:t>
      </w:r>
      <w:r w:rsidR="00733CA7" w:rsidRPr="003D6C5D">
        <w:rPr>
          <w:rFonts w:ascii="Times New Roman" w:hAnsi="Times New Roman" w:cs="Times New Roman"/>
          <w:sz w:val="24"/>
          <w:szCs w:val="24"/>
          <w:lang w:val="en-US" w:eastAsia="de-DE"/>
        </w:rPr>
        <w:t>Barber</w:t>
      </w:r>
      <w:r w:rsidR="006B0506">
        <w:rPr>
          <w:rFonts w:ascii="Times New Roman" w:hAnsi="Times New Roman" w:cs="Times New Roman"/>
          <w:sz w:val="24"/>
          <w:szCs w:val="24"/>
          <w:lang w:val="en-US" w:eastAsia="de-DE"/>
        </w:rPr>
        <w:t xml:space="preserve">, Lehavy, McNichols, Trueman  </w:t>
      </w:r>
      <w:r w:rsidR="00F738B7">
        <w:rPr>
          <w:rFonts w:ascii="Times New Roman" w:hAnsi="Times New Roman" w:cs="Times New Roman"/>
          <w:sz w:val="24"/>
          <w:szCs w:val="24"/>
          <w:lang w:val="en-US" w:eastAsia="de-DE"/>
        </w:rPr>
        <w:t xml:space="preserve"> 2001; Loh, </w:t>
      </w:r>
      <w:r w:rsidR="00733CA7" w:rsidRPr="003D6C5D">
        <w:rPr>
          <w:rFonts w:ascii="Times New Roman" w:hAnsi="Times New Roman" w:cs="Times New Roman"/>
          <w:sz w:val="24"/>
          <w:szCs w:val="24"/>
          <w:lang w:val="en-US" w:eastAsia="de-DE"/>
        </w:rPr>
        <w:t>Mian 2006) than sal</w:t>
      </w:r>
      <w:r w:rsidR="00DF01D8">
        <w:rPr>
          <w:rFonts w:ascii="Times New Roman" w:hAnsi="Times New Roman" w:cs="Times New Roman"/>
          <w:sz w:val="24"/>
          <w:szCs w:val="24"/>
          <w:lang w:val="en-US" w:eastAsia="de-DE"/>
        </w:rPr>
        <w:t>e recommendations (Ertimur, Zhang, Muslu 2010;</w:t>
      </w:r>
      <w:r w:rsidR="00733CA7" w:rsidRPr="003D6C5D">
        <w:rPr>
          <w:rFonts w:ascii="Times New Roman" w:hAnsi="Times New Roman" w:cs="Times New Roman"/>
          <w:sz w:val="24"/>
          <w:szCs w:val="24"/>
          <w:lang w:val="en-US" w:eastAsia="de-DE"/>
        </w:rPr>
        <w:t xml:space="preserve"> Papakroni 2012). This can be caused by things such as not wanting to risk business opportunity or facing legal consequences for issuing a </w:t>
      </w:r>
      <w:r w:rsidR="00FC51C7">
        <w:rPr>
          <w:rFonts w:ascii="Times New Roman" w:hAnsi="Times New Roman" w:cs="Times New Roman"/>
          <w:sz w:val="24"/>
          <w:szCs w:val="24"/>
          <w:lang w:val="en-US" w:eastAsia="de-DE"/>
        </w:rPr>
        <w:t>negative recommendation. Ther</w:t>
      </w:r>
      <w:r w:rsidR="00215827">
        <w:rPr>
          <w:rFonts w:ascii="Times New Roman" w:hAnsi="Times New Roman" w:cs="Times New Roman"/>
          <w:sz w:val="24"/>
          <w:szCs w:val="24"/>
          <w:lang w:val="en-US" w:eastAsia="de-DE"/>
        </w:rPr>
        <w:t>e</w:t>
      </w:r>
      <w:r w:rsidR="00FC51C7">
        <w:rPr>
          <w:rFonts w:ascii="Times New Roman" w:hAnsi="Times New Roman" w:cs="Times New Roman"/>
          <w:sz w:val="24"/>
          <w:szCs w:val="24"/>
          <w:lang w:val="en-US" w:eastAsia="de-DE"/>
        </w:rPr>
        <w:t>fore</w:t>
      </w:r>
      <w:r w:rsidR="00733CA7" w:rsidRPr="003D6C5D">
        <w:rPr>
          <w:rFonts w:ascii="Times New Roman" w:hAnsi="Times New Roman" w:cs="Times New Roman"/>
          <w:sz w:val="24"/>
          <w:szCs w:val="24"/>
          <w:lang w:val="en-US" w:eastAsia="de-DE"/>
        </w:rPr>
        <w:t>, it is easier for stockbrokers to iss</w:t>
      </w:r>
      <w:r w:rsidR="000E2341">
        <w:rPr>
          <w:rFonts w:ascii="Times New Roman" w:hAnsi="Times New Roman" w:cs="Times New Roman"/>
          <w:sz w:val="24"/>
          <w:szCs w:val="24"/>
          <w:lang w:val="en-US" w:eastAsia="de-DE"/>
        </w:rPr>
        <w:t xml:space="preserve">ue positive recommendations </w:t>
      </w:r>
      <w:r w:rsidR="00733CA7" w:rsidRPr="003D6C5D">
        <w:rPr>
          <w:rFonts w:ascii="Times New Roman" w:hAnsi="Times New Roman" w:cs="Times New Roman"/>
          <w:sz w:val="24"/>
          <w:szCs w:val="24"/>
          <w:lang w:val="en-US" w:eastAsia="de-DE"/>
        </w:rPr>
        <w:t>even if the financial instrument does not act as accor</w:t>
      </w:r>
      <w:r w:rsidR="001F4F1B">
        <w:rPr>
          <w:rFonts w:ascii="Times New Roman" w:hAnsi="Times New Roman" w:cs="Times New Roman"/>
          <w:sz w:val="24"/>
          <w:szCs w:val="24"/>
          <w:lang w:val="en-US" w:eastAsia="de-DE"/>
        </w:rPr>
        <w:t>ding to the analyst’s prognosis. As a result</w:t>
      </w:r>
      <w:r w:rsidR="00733CA7" w:rsidRPr="003D6C5D">
        <w:rPr>
          <w:rFonts w:ascii="Times New Roman" w:hAnsi="Times New Roman" w:cs="Times New Roman"/>
          <w:sz w:val="24"/>
          <w:szCs w:val="24"/>
          <w:lang w:val="en-US" w:eastAsia="de-DE"/>
        </w:rPr>
        <w:t xml:space="preserve"> will not be any conflict between the brokerage house and the estimated company. Differences in recommendations issued by various brokers result from the way each broker estimates assets. However, in order </w:t>
      </w:r>
      <w:r w:rsidR="00733CA7" w:rsidRPr="003D6C5D">
        <w:rPr>
          <w:rFonts w:ascii="Times New Roman" w:hAnsi="Times New Roman" w:cs="Times New Roman"/>
          <w:sz w:val="24"/>
          <w:szCs w:val="24"/>
          <w:lang w:val="en-US" w:eastAsia="de-DE"/>
        </w:rPr>
        <w:lastRenderedPageBreak/>
        <w:t xml:space="preserve">to assess the accuracy of published recommendations, investors must take a look at the estimation model, this includes the calculation assumptions as well. </w:t>
      </w:r>
    </w:p>
    <w:p w14:paraId="53BE3643" w14:textId="77777777" w:rsidR="00733CA7" w:rsidRPr="003D6C5D" w:rsidRDefault="00733CA7" w:rsidP="0071390A">
      <w:pPr>
        <w:keepNext/>
        <w:keepLines/>
        <w:tabs>
          <w:tab w:val="num" w:pos="360"/>
        </w:tabs>
        <w:spacing w:before="0" w:after="0" w:line="360" w:lineRule="auto"/>
        <w:jc w:val="both"/>
        <w:outlineLvl w:val="1"/>
        <w:rPr>
          <w:rFonts w:ascii="Times New Roman" w:eastAsiaTheme="majorEastAsia" w:hAnsi="Times New Roman" w:cs="Times New Roman"/>
          <w:b/>
          <w:bCs/>
          <w:sz w:val="24"/>
          <w:szCs w:val="24"/>
          <w:lang w:val="en-US" w:eastAsia="de-DE"/>
        </w:rPr>
      </w:pPr>
    </w:p>
    <w:p w14:paraId="433499A2" w14:textId="5C82A7FF" w:rsidR="00733CA7" w:rsidRPr="003D6C5D" w:rsidRDefault="00733CA7" w:rsidP="0071390A">
      <w:pPr>
        <w:keepNext/>
        <w:keepLines/>
        <w:tabs>
          <w:tab w:val="num" w:pos="360"/>
        </w:tabs>
        <w:spacing w:before="0" w:after="0" w:line="360" w:lineRule="auto"/>
        <w:jc w:val="both"/>
        <w:outlineLvl w:val="1"/>
        <w:rPr>
          <w:rFonts w:ascii="Times New Roman" w:eastAsiaTheme="majorEastAsia" w:hAnsi="Times New Roman" w:cs="Times New Roman"/>
          <w:b/>
          <w:bCs/>
          <w:sz w:val="24"/>
          <w:szCs w:val="24"/>
          <w:lang w:val="en-US" w:eastAsia="de-DE"/>
        </w:rPr>
      </w:pPr>
      <w:r w:rsidRPr="003D6C5D">
        <w:rPr>
          <w:rFonts w:ascii="Times New Roman" w:eastAsiaTheme="majorEastAsia" w:hAnsi="Times New Roman" w:cs="Times New Roman"/>
          <w:b/>
          <w:bCs/>
          <w:sz w:val="24"/>
          <w:szCs w:val="24"/>
          <w:lang w:val="en-US" w:eastAsia="de-DE"/>
        </w:rPr>
        <w:t xml:space="preserve">Accuracy of brokerage recommendations in Poland </w:t>
      </w:r>
    </w:p>
    <w:p w14:paraId="53F6A7E7" w14:textId="6D7198AE" w:rsidR="00733CA7" w:rsidRPr="003D6C5D" w:rsidRDefault="00733CA7" w:rsidP="0071390A">
      <w:pPr>
        <w:spacing w:before="0" w:after="0" w:line="360" w:lineRule="auto"/>
        <w:ind w:firstLine="426"/>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 xml:space="preserve">In </w:t>
      </w:r>
      <w:r w:rsidR="00142384">
        <w:rPr>
          <w:rFonts w:ascii="Times New Roman" w:hAnsi="Times New Roman" w:cs="Times New Roman"/>
          <w:sz w:val="24"/>
          <w:szCs w:val="24"/>
          <w:lang w:val="en-US" w:eastAsia="de-DE"/>
        </w:rPr>
        <w:t>1933</w:t>
      </w:r>
      <w:r w:rsidR="0080781D">
        <w:rPr>
          <w:rFonts w:ascii="Times New Roman" w:hAnsi="Times New Roman" w:cs="Times New Roman"/>
          <w:sz w:val="24"/>
          <w:szCs w:val="24"/>
          <w:lang w:val="en-US" w:eastAsia="de-DE"/>
        </w:rPr>
        <w:t xml:space="preserve">, Arthur </w:t>
      </w:r>
      <w:r w:rsidR="00F7021E">
        <w:rPr>
          <w:rFonts w:ascii="Times New Roman" w:hAnsi="Times New Roman" w:cs="Times New Roman"/>
          <w:sz w:val="24"/>
          <w:szCs w:val="24"/>
          <w:lang w:val="en-US" w:eastAsia="de-DE"/>
        </w:rPr>
        <w:t>Cow</w:t>
      </w:r>
      <w:r w:rsidR="00174F2A">
        <w:rPr>
          <w:rFonts w:ascii="Times New Roman" w:hAnsi="Times New Roman" w:cs="Times New Roman"/>
          <w:sz w:val="24"/>
          <w:szCs w:val="24"/>
          <w:lang w:val="en-US" w:eastAsia="de-DE"/>
        </w:rPr>
        <w:t>les initiate</w:t>
      </w:r>
      <w:r w:rsidRPr="003D6C5D">
        <w:rPr>
          <w:rFonts w:ascii="Times New Roman" w:hAnsi="Times New Roman" w:cs="Times New Roman"/>
          <w:sz w:val="24"/>
          <w:szCs w:val="24"/>
          <w:lang w:val="en-US" w:eastAsia="de-DE"/>
        </w:rPr>
        <w:t>d the research about the accuracy of brokerage recommendations in USA. His research proved that investors cannot achieve above average return rates on the bases of issued reco</w:t>
      </w:r>
      <w:r w:rsidR="00617975">
        <w:rPr>
          <w:rFonts w:ascii="Times New Roman" w:hAnsi="Times New Roman" w:cs="Times New Roman"/>
          <w:sz w:val="24"/>
          <w:szCs w:val="24"/>
          <w:lang w:val="en-US" w:eastAsia="de-DE"/>
        </w:rPr>
        <w:t>mmendations. Furthermore Womack (</w:t>
      </w:r>
      <w:r w:rsidRPr="003D6C5D">
        <w:rPr>
          <w:rFonts w:ascii="Times New Roman" w:hAnsi="Times New Roman" w:cs="Times New Roman"/>
          <w:sz w:val="24"/>
          <w:szCs w:val="24"/>
          <w:lang w:val="en-US" w:eastAsia="de-DE"/>
        </w:rPr>
        <w:t>1996</w:t>
      </w:r>
      <w:r w:rsidR="00617975">
        <w:rPr>
          <w:rFonts w:ascii="Times New Roman" w:hAnsi="Times New Roman" w:cs="Times New Roman"/>
          <w:sz w:val="24"/>
          <w:szCs w:val="24"/>
          <w:lang w:val="en-US" w:eastAsia="de-DE"/>
        </w:rPr>
        <w:t>),</w:t>
      </w:r>
      <w:r w:rsidRPr="003D6C5D">
        <w:rPr>
          <w:rFonts w:ascii="Times New Roman" w:hAnsi="Times New Roman" w:cs="Times New Roman"/>
          <w:sz w:val="24"/>
          <w:szCs w:val="24"/>
          <w:lang w:val="en-US" w:eastAsia="de-DE"/>
        </w:rPr>
        <w:t xml:space="preserve"> noticed positive return rates after purchase recommendations and negative return rat</w:t>
      </w:r>
      <w:r w:rsidR="00AC695A">
        <w:rPr>
          <w:rFonts w:ascii="Times New Roman" w:hAnsi="Times New Roman" w:cs="Times New Roman"/>
          <w:sz w:val="24"/>
          <w:szCs w:val="24"/>
          <w:lang w:val="en-US" w:eastAsia="de-DE"/>
        </w:rPr>
        <w:t xml:space="preserve">es after sale recommendations. </w:t>
      </w:r>
      <w:r w:rsidRPr="003D6C5D">
        <w:rPr>
          <w:rFonts w:ascii="Times New Roman" w:hAnsi="Times New Roman" w:cs="Times New Roman"/>
          <w:sz w:val="24"/>
          <w:szCs w:val="24"/>
          <w:lang w:val="en-US" w:eastAsia="de-DE"/>
        </w:rPr>
        <w:t>Both negative and positive return rates persisted for a f</w:t>
      </w:r>
      <w:r w:rsidR="00AF7083">
        <w:rPr>
          <w:rFonts w:ascii="Times New Roman" w:hAnsi="Times New Roman" w:cs="Times New Roman"/>
          <w:sz w:val="24"/>
          <w:szCs w:val="24"/>
          <w:lang w:val="en-US" w:eastAsia="de-DE"/>
        </w:rPr>
        <w:t>ew months straights. Barber</w:t>
      </w:r>
      <w:r w:rsidR="00596528">
        <w:rPr>
          <w:rFonts w:ascii="Times New Roman" w:hAnsi="Times New Roman" w:cs="Times New Roman"/>
          <w:sz w:val="24"/>
          <w:szCs w:val="24"/>
          <w:lang w:val="en-US" w:eastAsia="de-DE"/>
        </w:rPr>
        <w:t xml:space="preserve">, Lehavy, McNichols, Trueman </w:t>
      </w:r>
      <w:r w:rsidR="00AF7083">
        <w:rPr>
          <w:rFonts w:ascii="Times New Roman" w:hAnsi="Times New Roman" w:cs="Times New Roman"/>
          <w:sz w:val="24"/>
          <w:szCs w:val="24"/>
          <w:lang w:val="en-US" w:eastAsia="de-DE"/>
        </w:rPr>
        <w:t>(2001)</w:t>
      </w:r>
      <w:r w:rsidRPr="003D6C5D">
        <w:rPr>
          <w:rFonts w:ascii="Times New Roman" w:hAnsi="Times New Roman" w:cs="Times New Roman"/>
          <w:sz w:val="24"/>
          <w:szCs w:val="24"/>
          <w:lang w:val="en-US" w:eastAsia="de-DE"/>
        </w:rPr>
        <w:t xml:space="preserve"> stated that the strategy that involved investing in companies, for which the overall forecast was positive resulted in the average return rate of 9.4% in a year. However, including transaction costs in the same investment strategy resulted in a loss of 3.1%. </w:t>
      </w:r>
    </w:p>
    <w:p w14:paraId="389430C5" w14:textId="2AE45DA6" w:rsidR="00733CA7" w:rsidRPr="003D6C5D" w:rsidRDefault="00733CA7" w:rsidP="0071390A">
      <w:pPr>
        <w:spacing w:before="0" w:after="0" w:line="360" w:lineRule="auto"/>
        <w:ind w:firstLine="284"/>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Polish literature contains research that covers the problem of brokerage recommendations accuracy, unfortunately, the research does not show promising results. Biedrzyński (2008) estimated that only 57% of analysts were right in their assessments, whereas Czyżycki and Klóska (2010), who used regression analysis in estimating the accuracy of issued recommendations, stated that the recommendations are not as accurate as they could be. Dąbrowski (2013) used a stat</w:t>
      </w:r>
      <w:r w:rsidR="00922A12">
        <w:rPr>
          <w:rFonts w:ascii="Times New Roman" w:hAnsi="Times New Roman" w:cs="Times New Roman"/>
          <w:sz w:val="24"/>
          <w:szCs w:val="24"/>
          <w:lang w:val="en-US" w:eastAsia="de-DE"/>
        </w:rPr>
        <w:t>i</w:t>
      </w:r>
      <w:r w:rsidR="00E12970">
        <w:rPr>
          <w:rFonts w:ascii="Times New Roman" w:hAnsi="Times New Roman" w:cs="Times New Roman"/>
          <w:sz w:val="24"/>
          <w:szCs w:val="24"/>
          <w:lang w:val="en-US" w:eastAsia="de-DE"/>
        </w:rPr>
        <w:t>st</w:t>
      </w:r>
      <w:r w:rsidRPr="003D6C5D">
        <w:rPr>
          <w:rFonts w:ascii="Times New Roman" w:hAnsi="Times New Roman" w:cs="Times New Roman"/>
          <w:sz w:val="24"/>
          <w:szCs w:val="24"/>
          <w:lang w:val="en-US" w:eastAsia="de-DE"/>
        </w:rPr>
        <w:t>ic method to build his investment portfolio over short (3 months), medium (6 months) and long (over 6 months) period of time in order to provide a proper estimation of issued recommendations. The results gave clear indication that public suggestions of buying and selling security was of poor quality and that institutions authorized to issue such recommendations did not have any incentive to provide suggestions that will not only be free of charge but be positive and come to fruition. Zaremba and Konieczka (2014) used the cash asset pricing model and market model based on the short/long investment portfolio in order to provide an estimate for the time period of 2005 and 2012 for all active companies in</w:t>
      </w:r>
      <w:r w:rsidR="00E12970">
        <w:rPr>
          <w:rFonts w:ascii="Times New Roman" w:hAnsi="Times New Roman" w:cs="Times New Roman"/>
          <w:sz w:val="24"/>
          <w:szCs w:val="24"/>
          <w:lang w:val="en-US" w:eastAsia="de-DE"/>
        </w:rPr>
        <w:t xml:space="preserve"> the</w:t>
      </w:r>
      <w:r w:rsidRPr="003D6C5D">
        <w:rPr>
          <w:rFonts w:ascii="Times New Roman" w:hAnsi="Times New Roman" w:cs="Times New Roman"/>
          <w:sz w:val="24"/>
          <w:szCs w:val="24"/>
          <w:lang w:val="en-US" w:eastAsia="de-DE"/>
        </w:rPr>
        <w:t xml:space="preserve"> Warsaw Stock Exchange. According to their research, brokerage recommendations have absolutely no value for individual investors. Long-term analysis for the best rated companies resulted in a negative return rates, the same went for short-term analysis for the worst rated companies.  </w:t>
      </w:r>
    </w:p>
    <w:p w14:paraId="281FC5F7" w14:textId="77777777" w:rsidR="00733CA7" w:rsidRPr="003D6C5D" w:rsidRDefault="00904555" w:rsidP="0071390A">
      <w:pPr>
        <w:spacing w:before="0" w:after="0" w:line="360" w:lineRule="auto"/>
        <w:ind w:firstLine="284"/>
        <w:jc w:val="both"/>
        <w:rPr>
          <w:rFonts w:ascii="Times New Roman" w:hAnsi="Times New Roman" w:cs="Times New Roman"/>
          <w:sz w:val="24"/>
          <w:szCs w:val="24"/>
          <w:lang w:val="en-US" w:eastAsia="de-DE"/>
        </w:rPr>
      </w:pPr>
      <w:r>
        <w:rPr>
          <w:rFonts w:ascii="Times New Roman" w:hAnsi="Times New Roman" w:cs="Times New Roman"/>
          <w:sz w:val="24"/>
          <w:szCs w:val="24"/>
          <w:lang w:val="en-US" w:eastAsia="de-DE"/>
        </w:rPr>
        <w:t>Despite of the authors using</w:t>
      </w:r>
      <w:r w:rsidR="00733CA7" w:rsidRPr="003D6C5D">
        <w:rPr>
          <w:rFonts w:ascii="Times New Roman" w:hAnsi="Times New Roman" w:cs="Times New Roman"/>
          <w:sz w:val="24"/>
          <w:szCs w:val="24"/>
          <w:lang w:val="en-US" w:eastAsia="de-DE"/>
        </w:rPr>
        <w:t xml:space="preserve"> different methods to assess the quality of brokerage recommendations</w:t>
      </w:r>
      <w:r w:rsidR="00E12970">
        <w:rPr>
          <w:rFonts w:ascii="Times New Roman" w:hAnsi="Times New Roman" w:cs="Times New Roman"/>
          <w:sz w:val="24"/>
          <w:szCs w:val="24"/>
          <w:lang w:val="en-US" w:eastAsia="de-DE"/>
        </w:rPr>
        <w:t>,</w:t>
      </w:r>
      <w:r w:rsidR="00733CA7" w:rsidRPr="003D6C5D">
        <w:rPr>
          <w:rFonts w:ascii="Times New Roman" w:hAnsi="Times New Roman" w:cs="Times New Roman"/>
          <w:sz w:val="24"/>
          <w:szCs w:val="24"/>
          <w:lang w:val="en-US" w:eastAsia="de-DE"/>
        </w:rPr>
        <w:t xml:space="preserve"> the results of their research was nearly iden</w:t>
      </w:r>
      <w:r w:rsidR="006D294A">
        <w:rPr>
          <w:rFonts w:ascii="Times New Roman" w:hAnsi="Times New Roman" w:cs="Times New Roman"/>
          <w:sz w:val="24"/>
          <w:szCs w:val="24"/>
          <w:lang w:val="en-US" w:eastAsia="de-DE"/>
        </w:rPr>
        <w:t>tical. The research suggests</w:t>
      </w:r>
      <w:r w:rsidR="00733CA7" w:rsidRPr="003D6C5D">
        <w:rPr>
          <w:rFonts w:ascii="Times New Roman" w:hAnsi="Times New Roman" w:cs="Times New Roman"/>
          <w:sz w:val="24"/>
          <w:szCs w:val="24"/>
          <w:lang w:val="en-US" w:eastAsia="de-DE"/>
        </w:rPr>
        <w:t xml:space="preserve"> that the accuracy of recomm</w:t>
      </w:r>
      <w:r w:rsidR="002937AD">
        <w:rPr>
          <w:rFonts w:ascii="Times New Roman" w:hAnsi="Times New Roman" w:cs="Times New Roman"/>
          <w:sz w:val="24"/>
          <w:szCs w:val="24"/>
          <w:lang w:val="en-US" w:eastAsia="de-DE"/>
        </w:rPr>
        <w:t>endations issued by specialized</w:t>
      </w:r>
      <w:r w:rsidR="00733CA7" w:rsidRPr="003D6C5D">
        <w:rPr>
          <w:rFonts w:ascii="Times New Roman" w:hAnsi="Times New Roman" w:cs="Times New Roman"/>
          <w:sz w:val="24"/>
          <w:szCs w:val="24"/>
          <w:lang w:val="en-US" w:eastAsia="de-DE"/>
        </w:rPr>
        <w:t xml:space="preserve"> and authorized institutions is </w:t>
      </w:r>
      <w:r w:rsidR="00733CA7" w:rsidRPr="003D6C5D">
        <w:rPr>
          <w:rFonts w:ascii="Times New Roman" w:hAnsi="Times New Roman" w:cs="Times New Roman"/>
          <w:sz w:val="24"/>
          <w:szCs w:val="24"/>
          <w:lang w:val="en-US" w:eastAsia="de-DE"/>
        </w:rPr>
        <w:lastRenderedPageBreak/>
        <w:t>extremely poor. However, none of tested research cover transaction c</w:t>
      </w:r>
      <w:r w:rsidR="000B5B83">
        <w:rPr>
          <w:rFonts w:ascii="Times New Roman" w:hAnsi="Times New Roman" w:cs="Times New Roman"/>
          <w:sz w:val="24"/>
          <w:szCs w:val="24"/>
          <w:lang w:val="en-US" w:eastAsia="de-DE"/>
        </w:rPr>
        <w:t xml:space="preserve">osts and taxation, which is </w:t>
      </w:r>
      <w:r w:rsidR="00733CA7" w:rsidRPr="003D6C5D">
        <w:rPr>
          <w:rFonts w:ascii="Times New Roman" w:hAnsi="Times New Roman" w:cs="Times New Roman"/>
          <w:sz w:val="24"/>
          <w:szCs w:val="24"/>
          <w:lang w:val="en-US" w:eastAsia="de-DE"/>
        </w:rPr>
        <w:t xml:space="preserve">essential for an individual investor. </w:t>
      </w:r>
    </w:p>
    <w:p w14:paraId="65FA6ABF" w14:textId="77777777" w:rsidR="00733CA7" w:rsidRPr="003D6C5D" w:rsidRDefault="00733CA7" w:rsidP="0071390A">
      <w:pPr>
        <w:spacing w:before="0" w:after="0" w:line="360" w:lineRule="auto"/>
        <w:ind w:firstLine="284"/>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Individuals are obliged to pay taxes for allocating funds on the capital market, as long as the allocated funds enable them to gain profit. Capital gains tax was introduced in Poland on November 21</w:t>
      </w:r>
      <w:r w:rsidRPr="003D6C5D">
        <w:rPr>
          <w:rFonts w:ascii="Times New Roman" w:hAnsi="Times New Roman" w:cs="Times New Roman"/>
          <w:sz w:val="24"/>
          <w:szCs w:val="24"/>
          <w:vertAlign w:val="superscript"/>
          <w:lang w:val="en-US" w:eastAsia="de-DE"/>
        </w:rPr>
        <w:t>st</w:t>
      </w:r>
      <w:r w:rsidRPr="003D6C5D">
        <w:rPr>
          <w:rFonts w:ascii="Times New Roman" w:hAnsi="Times New Roman" w:cs="Times New Roman"/>
          <w:sz w:val="24"/>
          <w:szCs w:val="24"/>
          <w:lang w:val="en-US" w:eastAsia="de-DE"/>
        </w:rPr>
        <w:t xml:space="preserve"> 2001 and has a flat rate of 19% (Personal Income Tax Act 2001) Unlike in the lump sum tax, this method allows to reduce the acquired income deduced by costs of its gains. (Pogoński 2012) In literature this kind of method is ca</w:t>
      </w:r>
      <w:r w:rsidR="00892E69">
        <w:rPr>
          <w:rFonts w:ascii="Times New Roman" w:hAnsi="Times New Roman" w:cs="Times New Roman"/>
          <w:sz w:val="24"/>
          <w:szCs w:val="24"/>
          <w:lang w:val="en-US" w:eastAsia="de-DE"/>
        </w:rPr>
        <w:t>lled the tax shield (James 2012</w:t>
      </w:r>
      <w:r w:rsidRPr="003D6C5D">
        <w:rPr>
          <w:rFonts w:ascii="Times New Roman" w:hAnsi="Times New Roman" w:cs="Times New Roman"/>
          <w:sz w:val="24"/>
          <w:szCs w:val="24"/>
          <w:lang w:val="en-US" w:eastAsia="de-DE"/>
        </w:rPr>
        <w:t>) and is the most commonly used legal tool among investors (Jarno 2017)</w:t>
      </w:r>
    </w:p>
    <w:p w14:paraId="52DE0F4E" w14:textId="77777777" w:rsidR="00733CA7" w:rsidRPr="003D6C5D" w:rsidRDefault="00733CA7" w:rsidP="0071390A">
      <w:pPr>
        <w:spacing w:before="0" w:after="0" w:line="360" w:lineRule="auto"/>
        <w:ind w:firstLine="284"/>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 xml:space="preserve">When estimating the accuracy of brokerage recommendation it is crucial to include both taxation and transaction costs as it allows to show the profitability of the investment. Recommendation-based investment strategy may turn into a loss, even though a minimal positive return rate is achieved, because of the fact that the taxation and transaction costs need to be taken into account too. Therefore, the authors included those parameters in their estimation when building the model for assessing the recommendations' accuracy. </w:t>
      </w:r>
    </w:p>
    <w:p w14:paraId="2BFE0F16" w14:textId="77777777" w:rsidR="00733CA7" w:rsidRPr="003D6C5D" w:rsidRDefault="00733CA7" w:rsidP="0071390A">
      <w:pPr>
        <w:spacing w:before="0" w:after="0" w:line="360" w:lineRule="auto"/>
        <w:jc w:val="both"/>
        <w:rPr>
          <w:rFonts w:ascii="Times New Roman" w:hAnsi="Times New Roman" w:cs="Times New Roman"/>
          <w:b/>
          <w:sz w:val="24"/>
          <w:szCs w:val="24"/>
          <w:lang w:val="en-US" w:eastAsia="de-DE"/>
        </w:rPr>
      </w:pPr>
      <w:r w:rsidRPr="003D6C5D">
        <w:rPr>
          <w:rFonts w:ascii="Times New Roman" w:hAnsi="Times New Roman" w:cs="Times New Roman"/>
          <w:b/>
          <w:sz w:val="24"/>
          <w:szCs w:val="24"/>
          <w:lang w:val="en-US" w:eastAsia="de-DE"/>
        </w:rPr>
        <w:t>Methodology</w:t>
      </w:r>
    </w:p>
    <w:p w14:paraId="4C957A1C" w14:textId="77777777" w:rsidR="00733CA7" w:rsidRPr="003D6C5D" w:rsidRDefault="00733CA7" w:rsidP="0071390A">
      <w:pPr>
        <w:spacing w:before="0" w:after="0" w:line="360" w:lineRule="auto"/>
        <w:ind w:firstLine="360"/>
        <w:jc w:val="both"/>
        <w:rPr>
          <w:rFonts w:ascii="Times New Roman" w:hAnsi="Times New Roman" w:cs="Times New Roman"/>
          <w:sz w:val="24"/>
          <w:szCs w:val="24"/>
          <w:lang w:val="en-US" w:eastAsia="de-DE"/>
        </w:rPr>
      </w:pPr>
      <w:r>
        <w:rPr>
          <w:rFonts w:ascii="Times New Roman" w:hAnsi="Times New Roman" w:cs="Times New Roman"/>
          <w:sz w:val="24"/>
          <w:szCs w:val="24"/>
          <w:lang w:val="en-US" w:eastAsia="de-DE"/>
        </w:rPr>
        <w:t>The analysis covers all</w:t>
      </w:r>
      <w:r w:rsidRPr="003D6C5D">
        <w:rPr>
          <w:rFonts w:ascii="Times New Roman" w:hAnsi="Times New Roman" w:cs="Times New Roman"/>
          <w:sz w:val="24"/>
          <w:szCs w:val="24"/>
          <w:lang w:val="en-US" w:eastAsia="de-DE"/>
        </w:rPr>
        <w:t xml:space="preserve"> stock recommendation</w:t>
      </w:r>
      <w:r>
        <w:rPr>
          <w:rFonts w:ascii="Times New Roman" w:hAnsi="Times New Roman" w:cs="Times New Roman"/>
          <w:sz w:val="24"/>
          <w:szCs w:val="24"/>
          <w:lang w:val="en-US" w:eastAsia="de-DE"/>
        </w:rPr>
        <w:t>s</w:t>
      </w:r>
      <w:r w:rsidRPr="003D6C5D">
        <w:rPr>
          <w:rFonts w:ascii="Times New Roman" w:hAnsi="Times New Roman" w:cs="Times New Roman"/>
          <w:sz w:val="24"/>
          <w:szCs w:val="24"/>
          <w:lang w:val="en-US" w:eastAsia="de-DE"/>
        </w:rPr>
        <w:t xml:space="preserve"> for companies listed on the Warsaw Stock Exchange released since 2006. Main market and NewConnect are included for which a total of 5645 recommendations (after validation) were published. The da</w:t>
      </w:r>
      <w:r>
        <w:rPr>
          <w:rFonts w:ascii="Times New Roman" w:hAnsi="Times New Roman" w:cs="Times New Roman"/>
          <w:sz w:val="24"/>
          <w:szCs w:val="24"/>
          <w:lang w:val="en-US" w:eastAsia="de-DE"/>
        </w:rPr>
        <w:t>tabase was provided by Money.pl. H</w:t>
      </w:r>
      <w:r w:rsidRPr="003D6C5D">
        <w:rPr>
          <w:rFonts w:ascii="Times New Roman" w:hAnsi="Times New Roman" w:cs="Times New Roman"/>
          <w:sz w:val="24"/>
          <w:szCs w:val="24"/>
          <w:lang w:val="en-US" w:eastAsia="de-DE"/>
        </w:rPr>
        <w:t>owe</w:t>
      </w:r>
      <w:r>
        <w:rPr>
          <w:rFonts w:ascii="Times New Roman" w:hAnsi="Times New Roman" w:cs="Times New Roman"/>
          <w:sz w:val="24"/>
          <w:szCs w:val="24"/>
          <w:lang w:val="en-US" w:eastAsia="de-DE"/>
        </w:rPr>
        <w:t>ver the data had to be investigated</w:t>
      </w:r>
      <w:r w:rsidRPr="003D6C5D">
        <w:rPr>
          <w:rFonts w:ascii="Times New Roman" w:hAnsi="Times New Roman" w:cs="Times New Roman"/>
          <w:sz w:val="24"/>
          <w:szCs w:val="24"/>
          <w:lang w:val="en-US" w:eastAsia="de-DE"/>
        </w:rPr>
        <w:t xml:space="preserve"> and validated</w:t>
      </w:r>
      <w:r>
        <w:rPr>
          <w:rFonts w:ascii="Times New Roman" w:hAnsi="Times New Roman" w:cs="Times New Roman"/>
          <w:sz w:val="24"/>
          <w:szCs w:val="24"/>
          <w:lang w:val="en-US" w:eastAsia="de-DE"/>
        </w:rPr>
        <w:t xml:space="preserve">. Finally,  </w:t>
      </w:r>
      <w:r w:rsidRPr="003D6C5D">
        <w:rPr>
          <w:rFonts w:ascii="Times New Roman" w:hAnsi="Times New Roman" w:cs="Times New Roman"/>
          <w:sz w:val="24"/>
          <w:szCs w:val="24"/>
          <w:lang w:val="en-US" w:eastAsia="de-DE"/>
        </w:rPr>
        <w:t>recommendation</w:t>
      </w:r>
      <w:r>
        <w:rPr>
          <w:rFonts w:ascii="Times New Roman" w:hAnsi="Times New Roman" w:cs="Times New Roman"/>
          <w:sz w:val="24"/>
          <w:szCs w:val="24"/>
          <w:lang w:val="en-US" w:eastAsia="de-DE"/>
        </w:rPr>
        <w:t>s’</w:t>
      </w:r>
      <w:r w:rsidRPr="003D6C5D">
        <w:rPr>
          <w:rFonts w:ascii="Times New Roman" w:hAnsi="Times New Roman" w:cs="Times New Roman"/>
          <w:sz w:val="24"/>
          <w:szCs w:val="24"/>
          <w:lang w:val="en-US" w:eastAsia="de-DE"/>
        </w:rPr>
        <w:t xml:space="preserve"> parameters had to be normalized:</w:t>
      </w:r>
    </w:p>
    <w:p w14:paraId="1D7A6A14" w14:textId="77777777" w:rsidR="00733CA7" w:rsidRPr="003D6C5D" w:rsidRDefault="00733CA7" w:rsidP="0071390A">
      <w:pPr>
        <w:numPr>
          <w:ilvl w:val="0"/>
          <w:numId w:val="2"/>
        </w:numPr>
        <w:spacing w:before="0" w:after="0" w:line="360" w:lineRule="auto"/>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doubled or false records were deleted,</w:t>
      </w:r>
    </w:p>
    <w:p w14:paraId="7C4435F0" w14:textId="77777777" w:rsidR="00733CA7" w:rsidRPr="003D6C5D" w:rsidRDefault="00733CA7" w:rsidP="0071390A">
      <w:pPr>
        <w:numPr>
          <w:ilvl w:val="0"/>
          <w:numId w:val="2"/>
        </w:numPr>
        <w:spacing w:before="0" w:after="0" w:line="360" w:lineRule="auto"/>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recommendation without target price or other important parameters were excluded,</w:t>
      </w:r>
    </w:p>
    <w:p w14:paraId="5FD62CA0" w14:textId="77777777" w:rsidR="00733CA7" w:rsidRPr="003D6C5D" w:rsidRDefault="00733CA7" w:rsidP="0071390A">
      <w:pPr>
        <w:numPr>
          <w:ilvl w:val="0"/>
          <w:numId w:val="2"/>
        </w:numPr>
        <w:spacing w:before="0" w:after="0" w:line="360" w:lineRule="auto"/>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every type of recommendation was classified as buying or selling recommendation on the basis of target price and closing price of the day of publication (‘buy’ for targets higher than current price and ‘sell’ for targets lower than current price),</w:t>
      </w:r>
    </w:p>
    <w:p w14:paraId="367ADA74" w14:textId="77777777" w:rsidR="00733CA7" w:rsidRPr="003D6C5D" w:rsidRDefault="00733CA7" w:rsidP="0071390A">
      <w:pPr>
        <w:numPr>
          <w:ilvl w:val="0"/>
          <w:numId w:val="2"/>
        </w:numPr>
        <w:spacing w:before="0" w:after="0" w:line="360" w:lineRule="auto"/>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short-positions for selling recommendations were allowed,</w:t>
      </w:r>
    </w:p>
    <w:p w14:paraId="221B764D" w14:textId="77777777" w:rsidR="00733CA7" w:rsidRPr="003D6C5D" w:rsidRDefault="00733CA7" w:rsidP="0071390A">
      <w:pPr>
        <w:numPr>
          <w:ilvl w:val="0"/>
          <w:numId w:val="2"/>
        </w:numPr>
        <w:spacing w:before="0" w:after="0" w:line="360" w:lineRule="auto"/>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the price of the day of recommendation was always closing price of the session,</w:t>
      </w:r>
    </w:p>
    <w:p w14:paraId="12961981" w14:textId="77777777" w:rsidR="00733CA7" w:rsidRPr="003D6C5D" w:rsidRDefault="00733CA7" w:rsidP="0071390A">
      <w:pPr>
        <w:numPr>
          <w:ilvl w:val="0"/>
          <w:numId w:val="2"/>
        </w:numPr>
        <w:spacing w:before="0" w:after="0" w:line="360" w:lineRule="auto"/>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all the recommendations were short-term, that is why time horizon was set to 50 sessions,</w:t>
      </w:r>
    </w:p>
    <w:p w14:paraId="235D1FD0" w14:textId="77777777" w:rsidR="00733CA7" w:rsidRPr="003D6C5D" w:rsidRDefault="00733CA7" w:rsidP="0071390A">
      <w:pPr>
        <w:numPr>
          <w:ilvl w:val="0"/>
          <w:numId w:val="2"/>
        </w:numPr>
        <w:spacing w:before="0" w:after="0" w:line="360" w:lineRule="auto"/>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splits, dividends and other stock operations were included and recalculated.</w:t>
      </w:r>
    </w:p>
    <w:p w14:paraId="469A4002" w14:textId="77777777" w:rsidR="00733CA7" w:rsidRPr="003D6C5D" w:rsidRDefault="00733CA7" w:rsidP="0071390A">
      <w:pPr>
        <w:spacing w:before="0" w:after="0" w:line="360" w:lineRule="auto"/>
        <w:ind w:firstLine="360"/>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lastRenderedPageBreak/>
        <w:t>The qua</w:t>
      </w:r>
      <w:r>
        <w:rPr>
          <w:rFonts w:ascii="Times New Roman" w:hAnsi="Times New Roman" w:cs="Times New Roman"/>
          <w:sz w:val="24"/>
          <w:szCs w:val="24"/>
          <w:lang w:val="en-US" w:eastAsia="de-DE"/>
        </w:rPr>
        <w:t>lity assessment process involved</w:t>
      </w:r>
      <w:r w:rsidRPr="003D6C5D">
        <w:rPr>
          <w:rFonts w:ascii="Times New Roman" w:hAnsi="Times New Roman" w:cs="Times New Roman"/>
          <w:sz w:val="24"/>
          <w:szCs w:val="24"/>
          <w:lang w:val="en-US" w:eastAsia="de-DE"/>
        </w:rPr>
        <w:t xml:space="preserve"> statistical analys</w:t>
      </w:r>
      <w:r w:rsidR="00E27101">
        <w:rPr>
          <w:rFonts w:ascii="Times New Roman" w:hAnsi="Times New Roman" w:cs="Times New Roman"/>
          <w:sz w:val="24"/>
          <w:szCs w:val="24"/>
          <w:lang w:val="en-US" w:eastAsia="de-DE"/>
        </w:rPr>
        <w:t>is and equity curve analysis. The authors</w:t>
      </w:r>
      <w:r w:rsidRPr="003D6C5D">
        <w:rPr>
          <w:rFonts w:ascii="Times New Roman" w:hAnsi="Times New Roman" w:cs="Times New Roman"/>
          <w:sz w:val="24"/>
          <w:szCs w:val="24"/>
          <w:lang w:val="en-US" w:eastAsia="de-DE"/>
        </w:rPr>
        <w:t xml:space="preserve"> focused especially on the following parameters:</w:t>
      </w:r>
    </w:p>
    <w:p w14:paraId="26967794" w14:textId="77777777" w:rsidR="00733CA7" w:rsidRPr="003D6C5D" w:rsidRDefault="00733CA7" w:rsidP="0071390A">
      <w:pPr>
        <w:numPr>
          <w:ilvl w:val="0"/>
          <w:numId w:val="3"/>
        </w:numPr>
        <w:spacing w:before="0" w:after="0" w:line="360" w:lineRule="auto"/>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number of recommendations,</w:t>
      </w:r>
    </w:p>
    <w:p w14:paraId="75761CFD" w14:textId="77777777" w:rsidR="00733CA7" w:rsidRPr="003D6C5D" w:rsidRDefault="00733CA7" w:rsidP="0071390A">
      <w:pPr>
        <w:numPr>
          <w:ilvl w:val="0"/>
          <w:numId w:val="3"/>
        </w:numPr>
        <w:spacing w:before="0" w:after="0" w:line="360" w:lineRule="auto"/>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general accuracy and target accuracy,</w:t>
      </w:r>
    </w:p>
    <w:p w14:paraId="4F4306E7" w14:textId="77777777" w:rsidR="00733CA7" w:rsidRPr="003D6C5D" w:rsidRDefault="00733CA7" w:rsidP="0071390A">
      <w:pPr>
        <w:numPr>
          <w:ilvl w:val="0"/>
          <w:numId w:val="3"/>
        </w:numPr>
        <w:spacing w:before="0" w:after="0" w:line="360" w:lineRule="auto"/>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normalized expected value,</w:t>
      </w:r>
    </w:p>
    <w:p w14:paraId="596CA275" w14:textId="77777777" w:rsidR="00733CA7" w:rsidRPr="003D6C5D" w:rsidRDefault="00733CA7" w:rsidP="0071390A">
      <w:pPr>
        <w:numPr>
          <w:ilvl w:val="0"/>
          <w:numId w:val="3"/>
        </w:numPr>
        <w:spacing w:before="0" w:after="0" w:line="360" w:lineRule="auto"/>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visual assessment of the equity curve compared with stock index WIG.</w:t>
      </w:r>
    </w:p>
    <w:p w14:paraId="37A15AD7" w14:textId="77777777" w:rsidR="00733CA7" w:rsidRPr="003D6C5D" w:rsidRDefault="00733CA7" w:rsidP="0071390A">
      <w:pPr>
        <w:spacing w:before="0" w:after="0" w:line="360" w:lineRule="auto"/>
        <w:ind w:firstLine="360"/>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The recommendations are divided into two groups depending of the regularity of publications. To the first and main group belong recommendations from financial institutions that publish regularly, that is at least 6 times a year (averagely) and consecutively in every year of their activity. The second group, statistically less important, consists of occasional and sporadic recommendations.</w:t>
      </w:r>
    </w:p>
    <w:p w14:paraId="4426B901" w14:textId="77777777" w:rsidR="00733CA7" w:rsidRPr="003D6C5D" w:rsidRDefault="00733CA7" w:rsidP="0071390A">
      <w:pPr>
        <w:spacing w:before="0" w:after="0" w:line="360" w:lineRule="auto"/>
        <w:ind w:firstLine="360"/>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 xml:space="preserve">The general accuracy is the number of positive recommendation divided by total number of recommendation issued by every financial institution. Positive recommendation means that target price was hit or the closing price after 50 sessions is better than starting price on the day of the publication. The target accuracy checks hitting the target price only which has to be done within 50 sessions period.  </w:t>
      </w:r>
    </w:p>
    <w:p w14:paraId="1C943F78" w14:textId="77777777" w:rsidR="00733CA7" w:rsidRPr="003D6C5D" w:rsidRDefault="00733CA7" w:rsidP="0071390A">
      <w:pPr>
        <w:spacing w:before="0" w:after="0" w:line="360" w:lineRule="auto"/>
        <w:ind w:firstLine="360"/>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The expected value is normalized by using P/L ratio instead of separated average profit and average loss of the transaction based on the recommendation. The calculation is as follows:</w:t>
      </w:r>
    </w:p>
    <w:p w14:paraId="7E53ABD7" w14:textId="77777777" w:rsidR="00733CA7" w:rsidRPr="003D6C5D" w:rsidRDefault="00733CA7" w:rsidP="0071390A">
      <w:pPr>
        <w:spacing w:before="0" w:after="0" w:line="360" w:lineRule="auto"/>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Ex = PLr x Acc – (1 – Acc)</w:t>
      </w:r>
    </w:p>
    <w:p w14:paraId="6AF461B8" w14:textId="77777777" w:rsidR="00733CA7" w:rsidRPr="003D6C5D" w:rsidRDefault="00733CA7" w:rsidP="0071390A">
      <w:pPr>
        <w:spacing w:before="0" w:after="0" w:line="360" w:lineRule="auto"/>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where:</w:t>
      </w:r>
    </w:p>
    <w:p w14:paraId="3C55D18C" w14:textId="77777777" w:rsidR="00733CA7" w:rsidRPr="003D6C5D" w:rsidRDefault="00733CA7" w:rsidP="0071390A">
      <w:pPr>
        <w:spacing w:before="0" w:after="0" w:line="360" w:lineRule="auto"/>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Ex – expected value,</w:t>
      </w:r>
    </w:p>
    <w:p w14:paraId="4354AB85" w14:textId="77777777" w:rsidR="00733CA7" w:rsidRPr="003D6C5D" w:rsidRDefault="00733CA7" w:rsidP="0071390A">
      <w:pPr>
        <w:spacing w:before="0" w:after="0" w:line="360" w:lineRule="auto"/>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PLr – Profit/Loss Ratio (PLr = avgProfit / avgLoss),</w:t>
      </w:r>
    </w:p>
    <w:p w14:paraId="2244E7FB" w14:textId="77777777" w:rsidR="00733CA7" w:rsidRPr="003D6C5D" w:rsidRDefault="00733CA7" w:rsidP="0071390A">
      <w:pPr>
        <w:spacing w:before="0" w:after="0" w:line="360" w:lineRule="auto"/>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Acc – accuracy (general accuracy),</w:t>
      </w:r>
    </w:p>
    <w:p w14:paraId="488459C8" w14:textId="77777777" w:rsidR="00733CA7" w:rsidRPr="003D6C5D" w:rsidRDefault="00733CA7" w:rsidP="0071390A">
      <w:pPr>
        <w:spacing w:before="0" w:after="0" w:line="360" w:lineRule="auto"/>
        <w:ind w:firstLine="426"/>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The equity curve is made on the basi</w:t>
      </w:r>
      <w:r w:rsidR="001A0CCF">
        <w:rPr>
          <w:rFonts w:ascii="Times New Roman" w:hAnsi="Times New Roman" w:cs="Times New Roman"/>
          <w:sz w:val="24"/>
          <w:szCs w:val="24"/>
          <w:lang w:val="en-US" w:eastAsia="de-DE"/>
        </w:rPr>
        <w:t>s of the simulated portfolio. The authors</w:t>
      </w:r>
      <w:r w:rsidRPr="003D6C5D">
        <w:rPr>
          <w:rFonts w:ascii="Times New Roman" w:hAnsi="Times New Roman" w:cs="Times New Roman"/>
          <w:sz w:val="24"/>
          <w:szCs w:val="24"/>
          <w:lang w:val="en-US" w:eastAsia="de-DE"/>
        </w:rPr>
        <w:t xml:space="preserve"> assume that every recommendation is traded and f</w:t>
      </w:r>
      <w:r w:rsidR="001A0CCF">
        <w:rPr>
          <w:rFonts w:ascii="Times New Roman" w:hAnsi="Times New Roman" w:cs="Times New Roman"/>
          <w:sz w:val="24"/>
          <w:szCs w:val="24"/>
          <w:lang w:val="en-US" w:eastAsia="de-DE"/>
        </w:rPr>
        <w:t>or every trade 1000</w:t>
      </w:r>
      <w:r w:rsidRPr="003D6C5D">
        <w:rPr>
          <w:rFonts w:ascii="Times New Roman" w:hAnsi="Times New Roman" w:cs="Times New Roman"/>
          <w:sz w:val="24"/>
          <w:szCs w:val="24"/>
          <w:lang w:val="en-US" w:eastAsia="de-DE"/>
        </w:rPr>
        <w:t>zł is engaged. Fractional volume is allowed for providing precise comparability among different stocks which price level is strongly diffused. The final results of every recommendation depend on hitting the target or (if target is not hit) closing price of the 50</w:t>
      </w:r>
      <w:r w:rsidRPr="003D6C5D">
        <w:rPr>
          <w:rFonts w:ascii="Times New Roman" w:hAnsi="Times New Roman" w:cs="Times New Roman"/>
          <w:sz w:val="24"/>
          <w:szCs w:val="24"/>
          <w:vertAlign w:val="superscript"/>
          <w:lang w:val="en-US" w:eastAsia="de-DE"/>
        </w:rPr>
        <w:t>th</w:t>
      </w:r>
      <w:r w:rsidRPr="003D6C5D">
        <w:rPr>
          <w:rFonts w:ascii="Times New Roman" w:hAnsi="Times New Roman" w:cs="Times New Roman"/>
          <w:sz w:val="24"/>
          <w:szCs w:val="24"/>
          <w:lang w:val="en-US" w:eastAsia="de-DE"/>
        </w:rPr>
        <w:t xml:space="preserve"> session after starting day. Profits and losses include commission of 0,39% for both buying and selling orders, which is standard fee for individual investors trading on the WSE in Poland. </w:t>
      </w:r>
    </w:p>
    <w:p w14:paraId="18752015" w14:textId="77777777" w:rsidR="00733CA7" w:rsidRPr="003D6C5D" w:rsidRDefault="00733CA7" w:rsidP="0071390A">
      <w:pPr>
        <w:spacing w:before="0" w:after="0" w:line="360" w:lineRule="auto"/>
        <w:ind w:firstLine="426"/>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 xml:space="preserve">Moreover, the results of all recommendation (as a portfolio) are tested in respect of taxation. In Poland, capital gain tax is settled annually on the basis of the closed orders </w:t>
      </w:r>
      <w:r w:rsidRPr="003D6C5D">
        <w:rPr>
          <w:rFonts w:ascii="Times New Roman" w:hAnsi="Times New Roman" w:cs="Times New Roman"/>
          <w:sz w:val="24"/>
          <w:szCs w:val="24"/>
          <w:lang w:val="en-US" w:eastAsia="de-DE"/>
        </w:rPr>
        <w:lastRenderedPageBreak/>
        <w:t xml:space="preserve">only, losses may be deducted from profits and the tax rate is 19%. The taxation is included in the equity curve calculation which means that periodically (after closing previous tax-year) diminishes the value of portfolio. </w:t>
      </w:r>
    </w:p>
    <w:p w14:paraId="605C719C" w14:textId="77777777" w:rsidR="00733CA7" w:rsidRPr="003D6C5D" w:rsidRDefault="00733CA7" w:rsidP="0071390A">
      <w:pPr>
        <w:spacing w:before="0" w:after="0" w:line="360" w:lineRule="auto"/>
        <w:jc w:val="both"/>
        <w:rPr>
          <w:rFonts w:ascii="Times New Roman" w:hAnsi="Times New Roman" w:cs="Times New Roman"/>
          <w:b/>
          <w:sz w:val="24"/>
          <w:szCs w:val="24"/>
          <w:lang w:val="en-US" w:eastAsia="de-DE"/>
        </w:rPr>
      </w:pPr>
      <w:r w:rsidRPr="003D6C5D">
        <w:rPr>
          <w:rFonts w:ascii="Times New Roman" w:hAnsi="Times New Roman" w:cs="Times New Roman"/>
          <w:b/>
          <w:sz w:val="24"/>
          <w:szCs w:val="24"/>
          <w:lang w:val="en-US" w:eastAsia="de-DE"/>
        </w:rPr>
        <w:t>Results of empirical research</w:t>
      </w:r>
    </w:p>
    <w:p w14:paraId="557F5F69" w14:textId="77777777" w:rsidR="00733CA7" w:rsidRPr="003D6C5D" w:rsidRDefault="00733CA7" w:rsidP="0071390A">
      <w:pPr>
        <w:spacing w:before="0" w:after="0" w:line="360" w:lineRule="auto"/>
        <w:ind w:firstLine="426"/>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 xml:space="preserve">Since 2006, financial institutions have published more than 5,5 thousand recommendation for companies listed on the Warsaw Stock Exchange. There were 55 recommenders of which 31 encouraged their readers to trade very regularly and intensively and 24 did it sporadically (non-regular recommenders are not fully taken into consideration in the whole ranking). </w:t>
      </w:r>
    </w:p>
    <w:p w14:paraId="127C3503" w14:textId="77777777" w:rsidR="00733CA7" w:rsidRPr="003D6C5D" w:rsidRDefault="00733CA7" w:rsidP="0071390A">
      <w:pPr>
        <w:spacing w:before="0" w:after="0" w:line="360" w:lineRule="auto"/>
        <w:ind w:firstLine="426"/>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 xml:space="preserve">Only half of recommenders generate profits (with positive expected value), which is very disappointing if one considers that all the recommenders are so-called professionals who should have knowledge and skills to achieve long-term profits. However, even among gainers, only 10 of them can be treated as successful recommenders with normalized expected value exceeding 0,1. Analyzing the other statistics, such as accuracy or P/L ratio, it is easy to discover that many financial institutions have rather employees of low qualification and poor analytical or trading skills. </w:t>
      </w:r>
    </w:p>
    <w:p w14:paraId="420A5CDA" w14:textId="77777777" w:rsidR="00733CA7" w:rsidRPr="003D6C5D" w:rsidRDefault="00733CA7" w:rsidP="0071390A">
      <w:pPr>
        <w:spacing w:before="0" w:after="0" w:line="360" w:lineRule="auto"/>
        <w:jc w:val="both"/>
        <w:rPr>
          <w:rFonts w:ascii="Times New Roman" w:hAnsi="Times New Roman" w:cs="Times New Roman"/>
          <w:i/>
          <w:iCs/>
          <w:sz w:val="24"/>
          <w:szCs w:val="24"/>
          <w:lang w:val="en-US" w:eastAsia="de-DE"/>
        </w:rPr>
      </w:pPr>
      <w:r w:rsidRPr="003D6C5D">
        <w:rPr>
          <w:rFonts w:ascii="Times New Roman" w:hAnsi="Times New Roman" w:cs="Times New Roman"/>
          <w:i/>
          <w:iCs/>
          <w:sz w:val="24"/>
          <w:szCs w:val="24"/>
          <w:lang w:eastAsia="de-DE"/>
        </w:rPr>
        <w:t xml:space="preserve">Table </w:t>
      </w:r>
      <w:r w:rsidRPr="003D6C5D">
        <w:rPr>
          <w:rFonts w:ascii="Times New Roman" w:hAnsi="Times New Roman" w:cs="Times New Roman"/>
          <w:i/>
          <w:iCs/>
          <w:sz w:val="24"/>
          <w:szCs w:val="24"/>
          <w:lang w:eastAsia="de-DE"/>
        </w:rPr>
        <w:fldChar w:fldCharType="begin"/>
      </w:r>
      <w:r w:rsidRPr="003D6C5D">
        <w:rPr>
          <w:rFonts w:ascii="Times New Roman" w:hAnsi="Times New Roman" w:cs="Times New Roman"/>
          <w:i/>
          <w:iCs/>
          <w:sz w:val="24"/>
          <w:szCs w:val="24"/>
          <w:lang w:eastAsia="de-DE"/>
        </w:rPr>
        <w:instrText xml:space="preserve"> SEQ Table \* ARABIC </w:instrText>
      </w:r>
      <w:r w:rsidRPr="003D6C5D">
        <w:rPr>
          <w:rFonts w:ascii="Times New Roman" w:hAnsi="Times New Roman" w:cs="Times New Roman"/>
          <w:i/>
          <w:iCs/>
          <w:sz w:val="24"/>
          <w:szCs w:val="24"/>
          <w:lang w:eastAsia="de-DE"/>
        </w:rPr>
        <w:fldChar w:fldCharType="separate"/>
      </w:r>
      <w:r w:rsidRPr="003D6C5D">
        <w:rPr>
          <w:rFonts w:ascii="Times New Roman" w:hAnsi="Times New Roman" w:cs="Times New Roman"/>
          <w:i/>
          <w:iCs/>
          <w:sz w:val="24"/>
          <w:szCs w:val="24"/>
          <w:lang w:eastAsia="de-DE"/>
        </w:rPr>
        <w:t>1</w:t>
      </w:r>
      <w:r w:rsidRPr="003D6C5D">
        <w:rPr>
          <w:rFonts w:ascii="Times New Roman" w:hAnsi="Times New Roman" w:cs="Times New Roman"/>
          <w:sz w:val="24"/>
          <w:szCs w:val="24"/>
          <w:lang w:val="en-US" w:eastAsia="de-DE"/>
        </w:rPr>
        <w:fldChar w:fldCharType="end"/>
      </w:r>
      <w:r w:rsidRPr="003D6C5D">
        <w:rPr>
          <w:rFonts w:ascii="Times New Roman" w:hAnsi="Times New Roman" w:cs="Times New Roman"/>
          <w:i/>
          <w:iCs/>
          <w:sz w:val="24"/>
          <w:szCs w:val="24"/>
          <w:lang w:eastAsia="de-DE"/>
        </w:rPr>
        <w:t xml:space="preserve"> Recommenders performance (regular)</w:t>
      </w:r>
    </w:p>
    <w:tbl>
      <w:tblPr>
        <w:tblStyle w:val="Zwykatabela2"/>
        <w:tblW w:w="7938" w:type="dxa"/>
        <w:tblLook w:val="04A0" w:firstRow="1" w:lastRow="0" w:firstColumn="1" w:lastColumn="0" w:noHBand="0" w:noVBand="1"/>
      </w:tblPr>
      <w:tblGrid>
        <w:gridCol w:w="2268"/>
        <w:gridCol w:w="1134"/>
        <w:gridCol w:w="1136"/>
        <w:gridCol w:w="1134"/>
        <w:gridCol w:w="1134"/>
        <w:gridCol w:w="1134"/>
      </w:tblGrid>
      <w:tr w:rsidR="00733CA7" w:rsidRPr="003D6C5D" w14:paraId="0E7ED34D" w14:textId="77777777" w:rsidTr="004314F5">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2298E9D8" w14:textId="77777777" w:rsidR="00733CA7" w:rsidRPr="003D6C5D" w:rsidRDefault="00CA2376"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R</w:t>
            </w:r>
            <w:r w:rsidR="00733CA7" w:rsidRPr="003D6C5D">
              <w:rPr>
                <w:rFonts w:ascii="Times New Roman" w:hAnsi="Times New Roman" w:cs="Times New Roman"/>
                <w:sz w:val="24"/>
                <w:szCs w:val="24"/>
              </w:rPr>
              <w:t>ecommender</w:t>
            </w:r>
          </w:p>
        </w:tc>
        <w:tc>
          <w:tcPr>
            <w:tcW w:w="1134" w:type="dxa"/>
            <w:noWrap/>
            <w:hideMark/>
          </w:tcPr>
          <w:p w14:paraId="5F4FC45B" w14:textId="77777777" w:rsidR="00733CA7" w:rsidRPr="003D6C5D" w:rsidRDefault="00733CA7" w:rsidP="0071390A">
            <w:pPr>
              <w:spacing w:before="0"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#recos</w:t>
            </w:r>
          </w:p>
        </w:tc>
        <w:tc>
          <w:tcPr>
            <w:tcW w:w="1134" w:type="dxa"/>
            <w:noWrap/>
            <w:hideMark/>
          </w:tcPr>
          <w:p w14:paraId="122CBC71" w14:textId="77777777" w:rsidR="00733CA7" w:rsidRPr="003D6C5D" w:rsidRDefault="00733CA7" w:rsidP="0071390A">
            <w:pPr>
              <w:spacing w:before="0"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accuracy</w:t>
            </w:r>
          </w:p>
        </w:tc>
        <w:tc>
          <w:tcPr>
            <w:tcW w:w="1134" w:type="dxa"/>
            <w:noWrap/>
            <w:hideMark/>
          </w:tcPr>
          <w:p w14:paraId="5945E54F" w14:textId="77777777" w:rsidR="00733CA7" w:rsidRPr="003D6C5D" w:rsidRDefault="00733CA7" w:rsidP="0071390A">
            <w:pPr>
              <w:spacing w:before="0"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P/L ratio</w:t>
            </w:r>
          </w:p>
        </w:tc>
        <w:tc>
          <w:tcPr>
            <w:tcW w:w="1134" w:type="dxa"/>
            <w:noWrap/>
            <w:hideMark/>
          </w:tcPr>
          <w:p w14:paraId="697AF29F" w14:textId="77777777" w:rsidR="00733CA7" w:rsidRPr="003D6C5D" w:rsidRDefault="00733CA7" w:rsidP="0071390A">
            <w:pPr>
              <w:spacing w:before="0"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Ex</w:t>
            </w:r>
          </w:p>
        </w:tc>
        <w:tc>
          <w:tcPr>
            <w:tcW w:w="1134" w:type="dxa"/>
            <w:noWrap/>
            <w:hideMark/>
          </w:tcPr>
          <w:p w14:paraId="2CBA9F52" w14:textId="77777777" w:rsidR="00733CA7" w:rsidRPr="003D6C5D" w:rsidRDefault="00733CA7" w:rsidP="0071390A">
            <w:pPr>
              <w:spacing w:before="0"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Target</w:t>
            </w:r>
          </w:p>
        </w:tc>
      </w:tr>
      <w:tr w:rsidR="00733CA7" w:rsidRPr="003D6C5D" w14:paraId="2DD121DC" w14:textId="77777777" w:rsidTr="004314F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327CE187"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Noble Securities</w:t>
            </w:r>
          </w:p>
        </w:tc>
        <w:tc>
          <w:tcPr>
            <w:tcW w:w="1134" w:type="dxa"/>
            <w:noWrap/>
            <w:hideMark/>
          </w:tcPr>
          <w:p w14:paraId="7BE4C67D"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82</w:t>
            </w:r>
          </w:p>
        </w:tc>
        <w:tc>
          <w:tcPr>
            <w:tcW w:w="1134" w:type="dxa"/>
            <w:noWrap/>
            <w:hideMark/>
          </w:tcPr>
          <w:p w14:paraId="129FB06F"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59.8%</w:t>
            </w:r>
          </w:p>
        </w:tc>
        <w:tc>
          <w:tcPr>
            <w:tcW w:w="1134" w:type="dxa"/>
            <w:noWrap/>
            <w:hideMark/>
          </w:tcPr>
          <w:p w14:paraId="13405217"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1.21</w:t>
            </w:r>
          </w:p>
        </w:tc>
        <w:tc>
          <w:tcPr>
            <w:tcW w:w="1134" w:type="dxa"/>
            <w:noWrap/>
            <w:hideMark/>
          </w:tcPr>
          <w:p w14:paraId="259A05F0"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0.32</w:t>
            </w:r>
          </w:p>
        </w:tc>
        <w:tc>
          <w:tcPr>
            <w:tcW w:w="1134" w:type="dxa"/>
            <w:noWrap/>
            <w:vAlign w:val="bottom"/>
            <w:hideMark/>
          </w:tcPr>
          <w:p w14:paraId="20E289E7"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32.9%</w:t>
            </w:r>
          </w:p>
        </w:tc>
      </w:tr>
      <w:tr w:rsidR="00733CA7" w:rsidRPr="003D6C5D" w14:paraId="5DDE8813" w14:textId="77777777" w:rsidTr="004314F5">
        <w:trPr>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4B0CBE93"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BGŻ BM</w:t>
            </w:r>
          </w:p>
        </w:tc>
        <w:tc>
          <w:tcPr>
            <w:tcW w:w="1134" w:type="dxa"/>
            <w:noWrap/>
            <w:hideMark/>
          </w:tcPr>
          <w:p w14:paraId="42F7FC72"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67</w:t>
            </w:r>
          </w:p>
        </w:tc>
        <w:tc>
          <w:tcPr>
            <w:tcW w:w="1134" w:type="dxa"/>
            <w:noWrap/>
            <w:hideMark/>
          </w:tcPr>
          <w:p w14:paraId="3E9C8299"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61.2%</w:t>
            </w:r>
          </w:p>
        </w:tc>
        <w:tc>
          <w:tcPr>
            <w:tcW w:w="1134" w:type="dxa"/>
            <w:noWrap/>
            <w:hideMark/>
          </w:tcPr>
          <w:p w14:paraId="154AF19D"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1.12</w:t>
            </w:r>
          </w:p>
        </w:tc>
        <w:tc>
          <w:tcPr>
            <w:tcW w:w="1134" w:type="dxa"/>
            <w:noWrap/>
            <w:hideMark/>
          </w:tcPr>
          <w:p w14:paraId="7723D931"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0.30</w:t>
            </w:r>
          </w:p>
        </w:tc>
        <w:tc>
          <w:tcPr>
            <w:tcW w:w="1134" w:type="dxa"/>
            <w:noWrap/>
            <w:vAlign w:val="bottom"/>
            <w:hideMark/>
          </w:tcPr>
          <w:p w14:paraId="35501FBE"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34.3%</w:t>
            </w:r>
          </w:p>
        </w:tc>
      </w:tr>
      <w:tr w:rsidR="00733CA7" w:rsidRPr="003D6C5D" w14:paraId="1DB3216D" w14:textId="77777777" w:rsidTr="004314F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3D1728C1"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BOŚ DM</w:t>
            </w:r>
          </w:p>
        </w:tc>
        <w:tc>
          <w:tcPr>
            <w:tcW w:w="1134" w:type="dxa"/>
            <w:noWrap/>
            <w:hideMark/>
          </w:tcPr>
          <w:p w14:paraId="3C834483"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256</w:t>
            </w:r>
          </w:p>
        </w:tc>
        <w:tc>
          <w:tcPr>
            <w:tcW w:w="1134" w:type="dxa"/>
            <w:noWrap/>
            <w:hideMark/>
          </w:tcPr>
          <w:p w14:paraId="12E82B9C"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63.3%</w:t>
            </w:r>
          </w:p>
        </w:tc>
        <w:tc>
          <w:tcPr>
            <w:tcW w:w="1134" w:type="dxa"/>
            <w:noWrap/>
            <w:hideMark/>
          </w:tcPr>
          <w:p w14:paraId="6FDDC73A"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1.05</w:t>
            </w:r>
          </w:p>
        </w:tc>
        <w:tc>
          <w:tcPr>
            <w:tcW w:w="1134" w:type="dxa"/>
            <w:noWrap/>
            <w:hideMark/>
          </w:tcPr>
          <w:p w14:paraId="2A30E7D2"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0.30</w:t>
            </w:r>
          </w:p>
        </w:tc>
        <w:tc>
          <w:tcPr>
            <w:tcW w:w="1134" w:type="dxa"/>
            <w:noWrap/>
            <w:vAlign w:val="bottom"/>
            <w:hideMark/>
          </w:tcPr>
          <w:p w14:paraId="313A1E8F"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36.7%</w:t>
            </w:r>
          </w:p>
        </w:tc>
      </w:tr>
      <w:tr w:rsidR="00733CA7" w:rsidRPr="003D6C5D" w14:paraId="643C8AC1" w14:textId="77777777" w:rsidTr="004314F5">
        <w:trPr>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7C162564"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Haitong Bank</w:t>
            </w:r>
          </w:p>
        </w:tc>
        <w:tc>
          <w:tcPr>
            <w:tcW w:w="1134" w:type="dxa"/>
            <w:noWrap/>
            <w:hideMark/>
          </w:tcPr>
          <w:p w14:paraId="78A56283"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96</w:t>
            </w:r>
          </w:p>
        </w:tc>
        <w:tc>
          <w:tcPr>
            <w:tcW w:w="1134" w:type="dxa"/>
            <w:noWrap/>
            <w:hideMark/>
          </w:tcPr>
          <w:p w14:paraId="7BC13F16"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63.5%</w:t>
            </w:r>
          </w:p>
        </w:tc>
        <w:tc>
          <w:tcPr>
            <w:tcW w:w="1134" w:type="dxa"/>
            <w:noWrap/>
            <w:hideMark/>
          </w:tcPr>
          <w:p w14:paraId="3F9E26CE"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0.91</w:t>
            </w:r>
          </w:p>
        </w:tc>
        <w:tc>
          <w:tcPr>
            <w:tcW w:w="1134" w:type="dxa"/>
            <w:noWrap/>
            <w:hideMark/>
          </w:tcPr>
          <w:p w14:paraId="31437166"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0.22</w:t>
            </w:r>
          </w:p>
        </w:tc>
        <w:tc>
          <w:tcPr>
            <w:tcW w:w="1134" w:type="dxa"/>
            <w:noWrap/>
            <w:vAlign w:val="bottom"/>
            <w:hideMark/>
          </w:tcPr>
          <w:p w14:paraId="03621141"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49.0%</w:t>
            </w:r>
          </w:p>
        </w:tc>
      </w:tr>
      <w:tr w:rsidR="00733CA7" w:rsidRPr="003D6C5D" w14:paraId="16A80F43" w14:textId="77777777" w:rsidTr="004314F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01A40B66"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BPS DM</w:t>
            </w:r>
          </w:p>
        </w:tc>
        <w:tc>
          <w:tcPr>
            <w:tcW w:w="1134" w:type="dxa"/>
            <w:noWrap/>
            <w:hideMark/>
          </w:tcPr>
          <w:p w14:paraId="0D55F025"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93</w:t>
            </w:r>
          </w:p>
        </w:tc>
        <w:tc>
          <w:tcPr>
            <w:tcW w:w="1134" w:type="dxa"/>
            <w:noWrap/>
            <w:hideMark/>
          </w:tcPr>
          <w:p w14:paraId="34EA75BD"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61.3%</w:t>
            </w:r>
          </w:p>
        </w:tc>
        <w:tc>
          <w:tcPr>
            <w:tcW w:w="1134" w:type="dxa"/>
            <w:noWrap/>
            <w:hideMark/>
          </w:tcPr>
          <w:p w14:paraId="21B39EC7"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0.93</w:t>
            </w:r>
          </w:p>
        </w:tc>
        <w:tc>
          <w:tcPr>
            <w:tcW w:w="1134" w:type="dxa"/>
            <w:noWrap/>
            <w:hideMark/>
          </w:tcPr>
          <w:p w14:paraId="02DF0297"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0.19</w:t>
            </w:r>
          </w:p>
        </w:tc>
        <w:tc>
          <w:tcPr>
            <w:tcW w:w="1134" w:type="dxa"/>
            <w:noWrap/>
            <w:vAlign w:val="bottom"/>
            <w:hideMark/>
          </w:tcPr>
          <w:p w14:paraId="4072FEDC"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35.5%</w:t>
            </w:r>
          </w:p>
        </w:tc>
      </w:tr>
      <w:tr w:rsidR="00733CA7" w:rsidRPr="003D6C5D" w14:paraId="067431FA" w14:textId="77777777" w:rsidTr="004314F5">
        <w:trPr>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485E3B28"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Ipopema</w:t>
            </w:r>
          </w:p>
        </w:tc>
        <w:tc>
          <w:tcPr>
            <w:tcW w:w="1134" w:type="dxa"/>
            <w:noWrap/>
            <w:hideMark/>
          </w:tcPr>
          <w:p w14:paraId="621041C0"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101</w:t>
            </w:r>
          </w:p>
        </w:tc>
        <w:tc>
          <w:tcPr>
            <w:tcW w:w="1134" w:type="dxa"/>
            <w:noWrap/>
            <w:hideMark/>
          </w:tcPr>
          <w:p w14:paraId="24B742E3"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64.4%</w:t>
            </w:r>
          </w:p>
        </w:tc>
        <w:tc>
          <w:tcPr>
            <w:tcW w:w="1134" w:type="dxa"/>
            <w:noWrap/>
            <w:hideMark/>
          </w:tcPr>
          <w:p w14:paraId="258DB3AA"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0.77</w:t>
            </w:r>
          </w:p>
        </w:tc>
        <w:tc>
          <w:tcPr>
            <w:tcW w:w="1134" w:type="dxa"/>
            <w:noWrap/>
            <w:hideMark/>
          </w:tcPr>
          <w:p w14:paraId="4832593F"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0.14</w:t>
            </w:r>
          </w:p>
        </w:tc>
        <w:tc>
          <w:tcPr>
            <w:tcW w:w="1134" w:type="dxa"/>
            <w:noWrap/>
            <w:vAlign w:val="bottom"/>
            <w:hideMark/>
          </w:tcPr>
          <w:p w14:paraId="4E96B395"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44.6%</w:t>
            </w:r>
          </w:p>
        </w:tc>
      </w:tr>
      <w:tr w:rsidR="00733CA7" w:rsidRPr="003D6C5D" w14:paraId="3763C891" w14:textId="77777777" w:rsidTr="004314F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32ADE4F1"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Trigon DM</w:t>
            </w:r>
          </w:p>
        </w:tc>
        <w:tc>
          <w:tcPr>
            <w:tcW w:w="1134" w:type="dxa"/>
            <w:noWrap/>
            <w:hideMark/>
          </w:tcPr>
          <w:p w14:paraId="5434AFF7"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132</w:t>
            </w:r>
          </w:p>
        </w:tc>
        <w:tc>
          <w:tcPr>
            <w:tcW w:w="1134" w:type="dxa"/>
            <w:noWrap/>
            <w:hideMark/>
          </w:tcPr>
          <w:p w14:paraId="044F7C56"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59.1%</w:t>
            </w:r>
          </w:p>
        </w:tc>
        <w:tc>
          <w:tcPr>
            <w:tcW w:w="1134" w:type="dxa"/>
            <w:noWrap/>
            <w:hideMark/>
          </w:tcPr>
          <w:p w14:paraId="7861AE67"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0.92</w:t>
            </w:r>
          </w:p>
        </w:tc>
        <w:tc>
          <w:tcPr>
            <w:tcW w:w="1134" w:type="dxa"/>
            <w:noWrap/>
            <w:hideMark/>
          </w:tcPr>
          <w:p w14:paraId="566CAA57"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0.13</w:t>
            </w:r>
          </w:p>
        </w:tc>
        <w:tc>
          <w:tcPr>
            <w:tcW w:w="1134" w:type="dxa"/>
            <w:noWrap/>
            <w:vAlign w:val="bottom"/>
            <w:hideMark/>
          </w:tcPr>
          <w:p w14:paraId="21CFAE70"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36.4%</w:t>
            </w:r>
          </w:p>
        </w:tc>
      </w:tr>
      <w:tr w:rsidR="00733CA7" w:rsidRPr="003D6C5D" w14:paraId="14FD52D3" w14:textId="77777777" w:rsidTr="004314F5">
        <w:trPr>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0A124044"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PKO BP DM</w:t>
            </w:r>
          </w:p>
        </w:tc>
        <w:tc>
          <w:tcPr>
            <w:tcW w:w="1134" w:type="dxa"/>
            <w:noWrap/>
            <w:hideMark/>
          </w:tcPr>
          <w:p w14:paraId="79381F28"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344</w:t>
            </w:r>
          </w:p>
        </w:tc>
        <w:tc>
          <w:tcPr>
            <w:tcW w:w="1134" w:type="dxa"/>
            <w:noWrap/>
            <w:hideMark/>
          </w:tcPr>
          <w:p w14:paraId="7910330B"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62.5%</w:t>
            </w:r>
          </w:p>
        </w:tc>
        <w:tc>
          <w:tcPr>
            <w:tcW w:w="1134" w:type="dxa"/>
            <w:noWrap/>
            <w:hideMark/>
          </w:tcPr>
          <w:p w14:paraId="7D833463"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0.81</w:t>
            </w:r>
          </w:p>
        </w:tc>
        <w:tc>
          <w:tcPr>
            <w:tcW w:w="1134" w:type="dxa"/>
            <w:noWrap/>
            <w:hideMark/>
          </w:tcPr>
          <w:p w14:paraId="2D7DC2DC"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0.13</w:t>
            </w:r>
          </w:p>
        </w:tc>
        <w:tc>
          <w:tcPr>
            <w:tcW w:w="1134" w:type="dxa"/>
            <w:noWrap/>
            <w:vAlign w:val="bottom"/>
            <w:hideMark/>
          </w:tcPr>
          <w:p w14:paraId="4CA9465E"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46.8%</w:t>
            </w:r>
          </w:p>
        </w:tc>
      </w:tr>
      <w:tr w:rsidR="00733CA7" w:rsidRPr="003D6C5D" w14:paraId="161A509F" w14:textId="77777777" w:rsidTr="004314F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555F37DA"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BZ WBK DM</w:t>
            </w:r>
          </w:p>
        </w:tc>
        <w:tc>
          <w:tcPr>
            <w:tcW w:w="1134" w:type="dxa"/>
            <w:noWrap/>
            <w:hideMark/>
          </w:tcPr>
          <w:p w14:paraId="40EE7FCF"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353</w:t>
            </w:r>
          </w:p>
        </w:tc>
        <w:tc>
          <w:tcPr>
            <w:tcW w:w="1134" w:type="dxa"/>
            <w:noWrap/>
            <w:hideMark/>
          </w:tcPr>
          <w:p w14:paraId="18AA0B55"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59.2%</w:t>
            </w:r>
          </w:p>
        </w:tc>
        <w:tc>
          <w:tcPr>
            <w:tcW w:w="1134" w:type="dxa"/>
            <w:noWrap/>
            <w:hideMark/>
          </w:tcPr>
          <w:p w14:paraId="4E817B45"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0.90</w:t>
            </w:r>
          </w:p>
        </w:tc>
        <w:tc>
          <w:tcPr>
            <w:tcW w:w="1134" w:type="dxa"/>
            <w:noWrap/>
            <w:hideMark/>
          </w:tcPr>
          <w:p w14:paraId="5862D32B"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0.13</w:t>
            </w:r>
          </w:p>
        </w:tc>
        <w:tc>
          <w:tcPr>
            <w:tcW w:w="1134" w:type="dxa"/>
            <w:noWrap/>
            <w:vAlign w:val="bottom"/>
            <w:hideMark/>
          </w:tcPr>
          <w:p w14:paraId="624BEEF0"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35.7%</w:t>
            </w:r>
          </w:p>
        </w:tc>
      </w:tr>
      <w:tr w:rsidR="00733CA7" w:rsidRPr="003D6C5D" w14:paraId="7059A022" w14:textId="77777777" w:rsidTr="004314F5">
        <w:trPr>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0A9398AA"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Millennium DM</w:t>
            </w:r>
          </w:p>
        </w:tc>
        <w:tc>
          <w:tcPr>
            <w:tcW w:w="1134" w:type="dxa"/>
            <w:noWrap/>
            <w:hideMark/>
          </w:tcPr>
          <w:p w14:paraId="5B546E60"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416</w:t>
            </w:r>
          </w:p>
        </w:tc>
        <w:tc>
          <w:tcPr>
            <w:tcW w:w="1134" w:type="dxa"/>
            <w:noWrap/>
            <w:hideMark/>
          </w:tcPr>
          <w:p w14:paraId="511B30B1"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63.2%</w:t>
            </w:r>
          </w:p>
        </w:tc>
        <w:tc>
          <w:tcPr>
            <w:tcW w:w="1134" w:type="dxa"/>
            <w:noWrap/>
            <w:hideMark/>
          </w:tcPr>
          <w:p w14:paraId="1B27CBA6"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0.75</w:t>
            </w:r>
          </w:p>
        </w:tc>
        <w:tc>
          <w:tcPr>
            <w:tcW w:w="1134" w:type="dxa"/>
            <w:noWrap/>
            <w:hideMark/>
          </w:tcPr>
          <w:p w14:paraId="60BC4E82"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0.11</w:t>
            </w:r>
          </w:p>
        </w:tc>
        <w:tc>
          <w:tcPr>
            <w:tcW w:w="1134" w:type="dxa"/>
            <w:noWrap/>
            <w:vAlign w:val="bottom"/>
            <w:hideMark/>
          </w:tcPr>
          <w:p w14:paraId="331CBBB3"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46.6%</w:t>
            </w:r>
          </w:p>
        </w:tc>
      </w:tr>
      <w:tr w:rsidR="00733CA7" w:rsidRPr="003D6C5D" w14:paraId="34473C24" w14:textId="77777777" w:rsidTr="004314F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39613DF3"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KBC Securities</w:t>
            </w:r>
          </w:p>
        </w:tc>
        <w:tc>
          <w:tcPr>
            <w:tcW w:w="1134" w:type="dxa"/>
            <w:noWrap/>
            <w:hideMark/>
          </w:tcPr>
          <w:p w14:paraId="62926805"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268</w:t>
            </w:r>
          </w:p>
        </w:tc>
        <w:tc>
          <w:tcPr>
            <w:tcW w:w="1134" w:type="dxa"/>
            <w:noWrap/>
            <w:hideMark/>
          </w:tcPr>
          <w:p w14:paraId="25AD725E"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60.1%</w:t>
            </w:r>
          </w:p>
        </w:tc>
        <w:tc>
          <w:tcPr>
            <w:tcW w:w="1134" w:type="dxa"/>
            <w:noWrap/>
            <w:hideMark/>
          </w:tcPr>
          <w:p w14:paraId="0A093EDE"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0.74</w:t>
            </w:r>
          </w:p>
        </w:tc>
        <w:tc>
          <w:tcPr>
            <w:tcW w:w="1134" w:type="dxa"/>
            <w:noWrap/>
            <w:hideMark/>
          </w:tcPr>
          <w:p w14:paraId="1FBD7F66"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0.05</w:t>
            </w:r>
          </w:p>
        </w:tc>
        <w:tc>
          <w:tcPr>
            <w:tcW w:w="1134" w:type="dxa"/>
            <w:noWrap/>
            <w:vAlign w:val="bottom"/>
            <w:hideMark/>
          </w:tcPr>
          <w:p w14:paraId="43CD4119"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45.1%</w:t>
            </w:r>
          </w:p>
        </w:tc>
      </w:tr>
      <w:tr w:rsidR="00733CA7" w:rsidRPr="003D6C5D" w14:paraId="35835E41" w14:textId="77777777" w:rsidTr="004314F5">
        <w:trPr>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2BDB05AC"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Goldman Sachs</w:t>
            </w:r>
          </w:p>
        </w:tc>
        <w:tc>
          <w:tcPr>
            <w:tcW w:w="1134" w:type="dxa"/>
            <w:noWrap/>
            <w:hideMark/>
          </w:tcPr>
          <w:p w14:paraId="0C757419"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79</w:t>
            </w:r>
          </w:p>
        </w:tc>
        <w:tc>
          <w:tcPr>
            <w:tcW w:w="1134" w:type="dxa"/>
            <w:noWrap/>
            <w:hideMark/>
          </w:tcPr>
          <w:p w14:paraId="10F3AA0B"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65.8%</w:t>
            </w:r>
          </w:p>
        </w:tc>
        <w:tc>
          <w:tcPr>
            <w:tcW w:w="1134" w:type="dxa"/>
            <w:noWrap/>
            <w:hideMark/>
          </w:tcPr>
          <w:p w14:paraId="6ECF1BFE"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0.59</w:t>
            </w:r>
          </w:p>
        </w:tc>
        <w:tc>
          <w:tcPr>
            <w:tcW w:w="1134" w:type="dxa"/>
            <w:noWrap/>
            <w:hideMark/>
          </w:tcPr>
          <w:p w14:paraId="1A71E1BA"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0.05</w:t>
            </w:r>
          </w:p>
        </w:tc>
        <w:tc>
          <w:tcPr>
            <w:tcW w:w="1134" w:type="dxa"/>
            <w:noWrap/>
            <w:vAlign w:val="bottom"/>
            <w:hideMark/>
          </w:tcPr>
          <w:p w14:paraId="1DED5931"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34.2%</w:t>
            </w:r>
          </w:p>
        </w:tc>
      </w:tr>
      <w:tr w:rsidR="00733CA7" w:rsidRPr="003D6C5D" w14:paraId="63920F82" w14:textId="77777777" w:rsidTr="004314F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0BC3B8F6"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Investors DI</w:t>
            </w:r>
          </w:p>
        </w:tc>
        <w:tc>
          <w:tcPr>
            <w:tcW w:w="1134" w:type="dxa"/>
            <w:noWrap/>
            <w:hideMark/>
          </w:tcPr>
          <w:p w14:paraId="6E9B6492"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62</w:t>
            </w:r>
          </w:p>
        </w:tc>
        <w:tc>
          <w:tcPr>
            <w:tcW w:w="1134" w:type="dxa"/>
            <w:noWrap/>
            <w:hideMark/>
          </w:tcPr>
          <w:p w14:paraId="5A6E1F83"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54.8%</w:t>
            </w:r>
          </w:p>
        </w:tc>
        <w:tc>
          <w:tcPr>
            <w:tcW w:w="1134" w:type="dxa"/>
            <w:noWrap/>
            <w:hideMark/>
          </w:tcPr>
          <w:p w14:paraId="4DBBC2C6"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0.89</w:t>
            </w:r>
          </w:p>
        </w:tc>
        <w:tc>
          <w:tcPr>
            <w:tcW w:w="1134" w:type="dxa"/>
            <w:noWrap/>
            <w:hideMark/>
          </w:tcPr>
          <w:p w14:paraId="372C0C22"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0.03</w:t>
            </w:r>
          </w:p>
        </w:tc>
        <w:tc>
          <w:tcPr>
            <w:tcW w:w="1134" w:type="dxa"/>
            <w:noWrap/>
            <w:vAlign w:val="bottom"/>
            <w:hideMark/>
          </w:tcPr>
          <w:p w14:paraId="2FDA44E7"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25.8%</w:t>
            </w:r>
          </w:p>
        </w:tc>
      </w:tr>
      <w:tr w:rsidR="00733CA7" w:rsidRPr="003D6C5D" w14:paraId="0CA555FB" w14:textId="77777777" w:rsidTr="004314F5">
        <w:trPr>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7569D3E7"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IDMSA DM</w:t>
            </w:r>
          </w:p>
        </w:tc>
        <w:tc>
          <w:tcPr>
            <w:tcW w:w="1134" w:type="dxa"/>
            <w:noWrap/>
            <w:hideMark/>
          </w:tcPr>
          <w:p w14:paraId="77F33169"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537</w:t>
            </w:r>
          </w:p>
        </w:tc>
        <w:tc>
          <w:tcPr>
            <w:tcW w:w="1134" w:type="dxa"/>
            <w:noWrap/>
            <w:hideMark/>
          </w:tcPr>
          <w:p w14:paraId="47BB89F2"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59.2%</w:t>
            </w:r>
          </w:p>
        </w:tc>
        <w:tc>
          <w:tcPr>
            <w:tcW w:w="1134" w:type="dxa"/>
            <w:noWrap/>
            <w:hideMark/>
          </w:tcPr>
          <w:p w14:paraId="00A7EC0C"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0.73</w:t>
            </w:r>
          </w:p>
        </w:tc>
        <w:tc>
          <w:tcPr>
            <w:tcW w:w="1134" w:type="dxa"/>
            <w:noWrap/>
            <w:hideMark/>
          </w:tcPr>
          <w:p w14:paraId="451747C0"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0.02</w:t>
            </w:r>
          </w:p>
        </w:tc>
        <w:tc>
          <w:tcPr>
            <w:tcW w:w="1134" w:type="dxa"/>
            <w:noWrap/>
            <w:vAlign w:val="bottom"/>
            <w:hideMark/>
          </w:tcPr>
          <w:p w14:paraId="29285DDB"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42.3%</w:t>
            </w:r>
          </w:p>
        </w:tc>
      </w:tr>
      <w:tr w:rsidR="00733CA7" w:rsidRPr="003D6C5D" w14:paraId="7091F4FE" w14:textId="77777777" w:rsidTr="004314F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3DE0333C"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Erste Securities DI</w:t>
            </w:r>
          </w:p>
        </w:tc>
        <w:tc>
          <w:tcPr>
            <w:tcW w:w="1134" w:type="dxa"/>
            <w:noWrap/>
            <w:hideMark/>
          </w:tcPr>
          <w:p w14:paraId="5D1A4F59"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263</w:t>
            </w:r>
          </w:p>
        </w:tc>
        <w:tc>
          <w:tcPr>
            <w:tcW w:w="1134" w:type="dxa"/>
            <w:noWrap/>
            <w:hideMark/>
          </w:tcPr>
          <w:p w14:paraId="5562FF45"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62.0%</w:t>
            </w:r>
          </w:p>
        </w:tc>
        <w:tc>
          <w:tcPr>
            <w:tcW w:w="1134" w:type="dxa"/>
            <w:noWrap/>
            <w:hideMark/>
          </w:tcPr>
          <w:p w14:paraId="51E7D029"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0.64</w:t>
            </w:r>
          </w:p>
        </w:tc>
        <w:tc>
          <w:tcPr>
            <w:tcW w:w="1134" w:type="dxa"/>
            <w:noWrap/>
            <w:hideMark/>
          </w:tcPr>
          <w:p w14:paraId="4529836B"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0.01</w:t>
            </w:r>
          </w:p>
        </w:tc>
        <w:tc>
          <w:tcPr>
            <w:tcW w:w="1134" w:type="dxa"/>
            <w:noWrap/>
            <w:vAlign w:val="bottom"/>
            <w:hideMark/>
          </w:tcPr>
          <w:p w14:paraId="64A3877F"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49.0%</w:t>
            </w:r>
          </w:p>
        </w:tc>
      </w:tr>
      <w:tr w:rsidR="00733CA7" w:rsidRPr="003D6C5D" w14:paraId="3B46975B" w14:textId="77777777" w:rsidTr="004314F5">
        <w:trPr>
          <w:trHeight w:val="288"/>
        </w:trPr>
        <w:tc>
          <w:tcPr>
            <w:cnfStyle w:val="001000000000" w:firstRow="0" w:lastRow="0" w:firstColumn="1" w:lastColumn="0" w:oddVBand="0" w:evenVBand="0" w:oddHBand="0" w:evenHBand="0" w:firstRowFirstColumn="0" w:firstRowLastColumn="0" w:lastRowFirstColumn="0" w:lastRowLastColumn="0"/>
            <w:tcW w:w="2268" w:type="dxa"/>
            <w:tcBorders>
              <w:bottom w:val="single" w:sz="4" w:space="0" w:color="7F7F7F" w:themeColor="text1" w:themeTint="80"/>
            </w:tcBorders>
            <w:noWrap/>
            <w:hideMark/>
          </w:tcPr>
          <w:p w14:paraId="2A7096A8"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lastRenderedPageBreak/>
              <w:t>BDM</w:t>
            </w:r>
          </w:p>
        </w:tc>
        <w:tc>
          <w:tcPr>
            <w:tcW w:w="1134" w:type="dxa"/>
            <w:tcBorders>
              <w:bottom w:val="single" w:sz="4" w:space="0" w:color="7F7F7F" w:themeColor="text1" w:themeTint="80"/>
            </w:tcBorders>
            <w:noWrap/>
            <w:hideMark/>
          </w:tcPr>
          <w:p w14:paraId="3C50718A"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230</w:t>
            </w:r>
          </w:p>
        </w:tc>
        <w:tc>
          <w:tcPr>
            <w:tcW w:w="1134" w:type="dxa"/>
            <w:tcBorders>
              <w:bottom w:val="single" w:sz="4" w:space="0" w:color="7F7F7F" w:themeColor="text1" w:themeTint="80"/>
            </w:tcBorders>
            <w:noWrap/>
            <w:hideMark/>
          </w:tcPr>
          <w:p w14:paraId="7520920C"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57.4%</w:t>
            </w:r>
          </w:p>
        </w:tc>
        <w:tc>
          <w:tcPr>
            <w:tcW w:w="1134" w:type="dxa"/>
            <w:tcBorders>
              <w:bottom w:val="single" w:sz="4" w:space="0" w:color="7F7F7F" w:themeColor="text1" w:themeTint="80"/>
            </w:tcBorders>
            <w:noWrap/>
            <w:hideMark/>
          </w:tcPr>
          <w:p w14:paraId="7D8FCB2B"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0.76</w:t>
            </w:r>
          </w:p>
        </w:tc>
        <w:tc>
          <w:tcPr>
            <w:tcW w:w="1134" w:type="dxa"/>
            <w:tcBorders>
              <w:bottom w:val="single" w:sz="4" w:space="0" w:color="7F7F7F" w:themeColor="text1" w:themeTint="80"/>
            </w:tcBorders>
            <w:noWrap/>
            <w:hideMark/>
          </w:tcPr>
          <w:p w14:paraId="107237B8"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0.01</w:t>
            </w:r>
          </w:p>
        </w:tc>
        <w:tc>
          <w:tcPr>
            <w:tcW w:w="1134" w:type="dxa"/>
            <w:tcBorders>
              <w:bottom w:val="single" w:sz="4" w:space="0" w:color="7F7F7F" w:themeColor="text1" w:themeTint="80"/>
            </w:tcBorders>
            <w:noWrap/>
            <w:vAlign w:val="bottom"/>
            <w:hideMark/>
          </w:tcPr>
          <w:p w14:paraId="08D05481"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41.3%</w:t>
            </w:r>
          </w:p>
        </w:tc>
      </w:tr>
      <w:tr w:rsidR="00733CA7" w:rsidRPr="003D6C5D" w14:paraId="3088D53D" w14:textId="77777777" w:rsidTr="004314F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8" w:type="dxa"/>
            <w:tcBorders>
              <w:bottom w:val="single" w:sz="12" w:space="0" w:color="FF0000"/>
            </w:tcBorders>
            <w:noWrap/>
            <w:hideMark/>
          </w:tcPr>
          <w:p w14:paraId="1E294445"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DM mBank</w:t>
            </w:r>
          </w:p>
        </w:tc>
        <w:tc>
          <w:tcPr>
            <w:tcW w:w="1134" w:type="dxa"/>
            <w:tcBorders>
              <w:bottom w:val="single" w:sz="12" w:space="0" w:color="FF0000"/>
            </w:tcBorders>
            <w:noWrap/>
            <w:hideMark/>
          </w:tcPr>
          <w:p w14:paraId="302CC61C"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610</w:t>
            </w:r>
          </w:p>
        </w:tc>
        <w:tc>
          <w:tcPr>
            <w:tcW w:w="1134" w:type="dxa"/>
            <w:tcBorders>
              <w:bottom w:val="single" w:sz="12" w:space="0" w:color="FF0000"/>
            </w:tcBorders>
            <w:noWrap/>
            <w:hideMark/>
          </w:tcPr>
          <w:p w14:paraId="40B8FF1B"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60.5%</w:t>
            </w:r>
          </w:p>
        </w:tc>
        <w:tc>
          <w:tcPr>
            <w:tcW w:w="1134" w:type="dxa"/>
            <w:tcBorders>
              <w:bottom w:val="single" w:sz="12" w:space="0" w:color="FF0000"/>
            </w:tcBorders>
            <w:noWrap/>
            <w:hideMark/>
          </w:tcPr>
          <w:p w14:paraId="141F8DF8"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0.65</w:t>
            </w:r>
          </w:p>
        </w:tc>
        <w:tc>
          <w:tcPr>
            <w:tcW w:w="1134" w:type="dxa"/>
            <w:tcBorders>
              <w:bottom w:val="single" w:sz="12" w:space="0" w:color="FF0000"/>
            </w:tcBorders>
            <w:noWrap/>
            <w:hideMark/>
          </w:tcPr>
          <w:p w14:paraId="199630CC"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0.00</w:t>
            </w:r>
          </w:p>
        </w:tc>
        <w:tc>
          <w:tcPr>
            <w:tcW w:w="1134" w:type="dxa"/>
            <w:tcBorders>
              <w:bottom w:val="single" w:sz="12" w:space="0" w:color="FF0000"/>
            </w:tcBorders>
            <w:noWrap/>
            <w:vAlign w:val="bottom"/>
            <w:hideMark/>
          </w:tcPr>
          <w:p w14:paraId="31DAC373"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47.5%</w:t>
            </w:r>
          </w:p>
        </w:tc>
      </w:tr>
      <w:tr w:rsidR="00733CA7" w:rsidRPr="003D6C5D" w14:paraId="381B581A" w14:textId="77777777" w:rsidTr="004314F5">
        <w:trPr>
          <w:trHeight w:val="288"/>
        </w:trPr>
        <w:tc>
          <w:tcPr>
            <w:cnfStyle w:val="001000000000" w:firstRow="0" w:lastRow="0" w:firstColumn="1" w:lastColumn="0" w:oddVBand="0" w:evenVBand="0" w:oddHBand="0" w:evenHBand="0" w:firstRowFirstColumn="0" w:firstRowLastColumn="0" w:lastRowFirstColumn="0" w:lastRowLastColumn="0"/>
            <w:tcW w:w="2268" w:type="dxa"/>
            <w:tcBorders>
              <w:top w:val="single" w:sz="12" w:space="0" w:color="FF0000"/>
              <w:bottom w:val="single" w:sz="4" w:space="0" w:color="7F7F7F" w:themeColor="text1" w:themeTint="80"/>
            </w:tcBorders>
            <w:noWrap/>
            <w:hideMark/>
          </w:tcPr>
          <w:p w14:paraId="0C69636C"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Citigroup</w:t>
            </w:r>
          </w:p>
        </w:tc>
        <w:tc>
          <w:tcPr>
            <w:tcW w:w="1134" w:type="dxa"/>
            <w:tcBorders>
              <w:top w:val="single" w:sz="12" w:space="0" w:color="FF0000"/>
              <w:bottom w:val="single" w:sz="4" w:space="0" w:color="7F7F7F" w:themeColor="text1" w:themeTint="80"/>
            </w:tcBorders>
            <w:noWrap/>
            <w:hideMark/>
          </w:tcPr>
          <w:p w14:paraId="4217ED0B"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83</w:t>
            </w:r>
          </w:p>
        </w:tc>
        <w:tc>
          <w:tcPr>
            <w:tcW w:w="1134" w:type="dxa"/>
            <w:tcBorders>
              <w:top w:val="single" w:sz="12" w:space="0" w:color="FF0000"/>
              <w:bottom w:val="single" w:sz="4" w:space="0" w:color="7F7F7F" w:themeColor="text1" w:themeTint="80"/>
            </w:tcBorders>
            <w:noWrap/>
            <w:hideMark/>
          </w:tcPr>
          <w:p w14:paraId="2AED8B6D"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63.9%</w:t>
            </w:r>
          </w:p>
        </w:tc>
        <w:tc>
          <w:tcPr>
            <w:tcW w:w="1134" w:type="dxa"/>
            <w:tcBorders>
              <w:top w:val="single" w:sz="12" w:space="0" w:color="FF0000"/>
              <w:bottom w:val="single" w:sz="4" w:space="0" w:color="7F7F7F" w:themeColor="text1" w:themeTint="80"/>
            </w:tcBorders>
            <w:noWrap/>
            <w:hideMark/>
          </w:tcPr>
          <w:p w14:paraId="760A928F"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0.53</w:t>
            </w:r>
          </w:p>
        </w:tc>
        <w:tc>
          <w:tcPr>
            <w:tcW w:w="1134" w:type="dxa"/>
            <w:tcBorders>
              <w:top w:val="single" w:sz="12" w:space="0" w:color="FF0000"/>
              <w:bottom w:val="single" w:sz="4" w:space="0" w:color="7F7F7F" w:themeColor="text1" w:themeTint="80"/>
            </w:tcBorders>
            <w:noWrap/>
            <w:hideMark/>
          </w:tcPr>
          <w:p w14:paraId="0EA58079"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-0.03</w:t>
            </w:r>
          </w:p>
        </w:tc>
        <w:tc>
          <w:tcPr>
            <w:tcW w:w="1134" w:type="dxa"/>
            <w:tcBorders>
              <w:top w:val="single" w:sz="12" w:space="0" w:color="FF0000"/>
              <w:bottom w:val="single" w:sz="4" w:space="0" w:color="7F7F7F" w:themeColor="text1" w:themeTint="80"/>
            </w:tcBorders>
            <w:noWrap/>
            <w:vAlign w:val="bottom"/>
            <w:hideMark/>
          </w:tcPr>
          <w:p w14:paraId="7E3E53A2"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33.7%</w:t>
            </w:r>
          </w:p>
        </w:tc>
      </w:tr>
      <w:tr w:rsidR="00733CA7" w:rsidRPr="003D6C5D" w14:paraId="3D5F27EF" w14:textId="77777777" w:rsidTr="004314F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0C0FA6CE"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Wood Company</w:t>
            </w:r>
          </w:p>
        </w:tc>
        <w:tc>
          <w:tcPr>
            <w:tcW w:w="1134" w:type="dxa"/>
            <w:noWrap/>
            <w:hideMark/>
          </w:tcPr>
          <w:p w14:paraId="4F7ED9A4"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155</w:t>
            </w:r>
          </w:p>
        </w:tc>
        <w:tc>
          <w:tcPr>
            <w:tcW w:w="1134" w:type="dxa"/>
            <w:noWrap/>
            <w:hideMark/>
          </w:tcPr>
          <w:p w14:paraId="50705A3E"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57.4%</w:t>
            </w:r>
          </w:p>
        </w:tc>
        <w:tc>
          <w:tcPr>
            <w:tcW w:w="1134" w:type="dxa"/>
            <w:noWrap/>
            <w:hideMark/>
          </w:tcPr>
          <w:p w14:paraId="0142EB6C"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0.67</w:t>
            </w:r>
          </w:p>
        </w:tc>
        <w:tc>
          <w:tcPr>
            <w:tcW w:w="1134" w:type="dxa"/>
            <w:noWrap/>
            <w:hideMark/>
          </w:tcPr>
          <w:p w14:paraId="7F4E3B1D"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-0.04</w:t>
            </w:r>
          </w:p>
        </w:tc>
        <w:tc>
          <w:tcPr>
            <w:tcW w:w="1134" w:type="dxa"/>
            <w:noWrap/>
            <w:vAlign w:val="bottom"/>
            <w:hideMark/>
          </w:tcPr>
          <w:p w14:paraId="773EC02B"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39.4%</w:t>
            </w:r>
          </w:p>
        </w:tc>
      </w:tr>
      <w:tr w:rsidR="00733CA7" w:rsidRPr="003D6C5D" w14:paraId="3E9EF705" w14:textId="77777777" w:rsidTr="004314F5">
        <w:trPr>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068BCE79"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DB Securities DM</w:t>
            </w:r>
          </w:p>
        </w:tc>
        <w:tc>
          <w:tcPr>
            <w:tcW w:w="1134" w:type="dxa"/>
            <w:noWrap/>
            <w:hideMark/>
          </w:tcPr>
          <w:p w14:paraId="3C7CB8D8"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119</w:t>
            </w:r>
          </w:p>
        </w:tc>
        <w:tc>
          <w:tcPr>
            <w:tcW w:w="1134" w:type="dxa"/>
            <w:noWrap/>
            <w:hideMark/>
          </w:tcPr>
          <w:p w14:paraId="17CC1BD9"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57.1%</w:t>
            </w:r>
          </w:p>
        </w:tc>
        <w:tc>
          <w:tcPr>
            <w:tcW w:w="1134" w:type="dxa"/>
            <w:noWrap/>
            <w:hideMark/>
          </w:tcPr>
          <w:p w14:paraId="0C552475"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0.61</w:t>
            </w:r>
          </w:p>
        </w:tc>
        <w:tc>
          <w:tcPr>
            <w:tcW w:w="1134" w:type="dxa"/>
            <w:noWrap/>
            <w:hideMark/>
          </w:tcPr>
          <w:p w14:paraId="39646110"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-0.08</w:t>
            </w:r>
          </w:p>
        </w:tc>
        <w:tc>
          <w:tcPr>
            <w:tcW w:w="1134" w:type="dxa"/>
            <w:noWrap/>
            <w:vAlign w:val="bottom"/>
            <w:hideMark/>
          </w:tcPr>
          <w:p w14:paraId="5AEC845E"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42.9%</w:t>
            </w:r>
          </w:p>
        </w:tc>
      </w:tr>
      <w:tr w:rsidR="00733CA7" w:rsidRPr="003D6C5D" w14:paraId="09053DF2" w14:textId="77777777" w:rsidTr="004314F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737751BB"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Raiffeisen</w:t>
            </w:r>
          </w:p>
        </w:tc>
        <w:tc>
          <w:tcPr>
            <w:tcW w:w="1134" w:type="dxa"/>
            <w:noWrap/>
            <w:hideMark/>
          </w:tcPr>
          <w:p w14:paraId="438767BF"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159</w:t>
            </w:r>
          </w:p>
        </w:tc>
        <w:tc>
          <w:tcPr>
            <w:tcW w:w="1134" w:type="dxa"/>
            <w:noWrap/>
            <w:hideMark/>
          </w:tcPr>
          <w:p w14:paraId="3CA3EB1F"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58.5%</w:t>
            </w:r>
          </w:p>
        </w:tc>
        <w:tc>
          <w:tcPr>
            <w:tcW w:w="1134" w:type="dxa"/>
            <w:noWrap/>
            <w:hideMark/>
          </w:tcPr>
          <w:p w14:paraId="777FCAD7"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0.55</w:t>
            </w:r>
          </w:p>
        </w:tc>
        <w:tc>
          <w:tcPr>
            <w:tcW w:w="1134" w:type="dxa"/>
            <w:noWrap/>
            <w:hideMark/>
          </w:tcPr>
          <w:p w14:paraId="7C959E5A"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-0.09</w:t>
            </w:r>
          </w:p>
        </w:tc>
        <w:tc>
          <w:tcPr>
            <w:tcW w:w="1134" w:type="dxa"/>
            <w:noWrap/>
            <w:vAlign w:val="bottom"/>
            <w:hideMark/>
          </w:tcPr>
          <w:p w14:paraId="12E8D377"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46.5%</w:t>
            </w:r>
          </w:p>
        </w:tc>
      </w:tr>
      <w:tr w:rsidR="00733CA7" w:rsidRPr="003D6C5D" w14:paraId="3E3849A5" w14:textId="77777777" w:rsidTr="004314F5">
        <w:trPr>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29262BDB"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DM Vestor</w:t>
            </w:r>
          </w:p>
        </w:tc>
        <w:tc>
          <w:tcPr>
            <w:tcW w:w="1134" w:type="dxa"/>
            <w:noWrap/>
            <w:hideMark/>
          </w:tcPr>
          <w:p w14:paraId="386D3A37"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65</w:t>
            </w:r>
          </w:p>
        </w:tc>
        <w:tc>
          <w:tcPr>
            <w:tcW w:w="1134" w:type="dxa"/>
            <w:noWrap/>
            <w:hideMark/>
          </w:tcPr>
          <w:p w14:paraId="515F18A9"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53.8%</w:t>
            </w:r>
          </w:p>
        </w:tc>
        <w:tc>
          <w:tcPr>
            <w:tcW w:w="1134" w:type="dxa"/>
            <w:noWrap/>
            <w:hideMark/>
          </w:tcPr>
          <w:p w14:paraId="4841EC94"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0.63</w:t>
            </w:r>
          </w:p>
        </w:tc>
        <w:tc>
          <w:tcPr>
            <w:tcW w:w="1134" w:type="dxa"/>
            <w:noWrap/>
            <w:hideMark/>
          </w:tcPr>
          <w:p w14:paraId="241DB3CC"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-0.12</w:t>
            </w:r>
          </w:p>
        </w:tc>
        <w:tc>
          <w:tcPr>
            <w:tcW w:w="1134" w:type="dxa"/>
            <w:noWrap/>
            <w:vAlign w:val="bottom"/>
            <w:hideMark/>
          </w:tcPr>
          <w:p w14:paraId="22875E45"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35.4%</w:t>
            </w:r>
          </w:p>
        </w:tc>
      </w:tr>
      <w:tr w:rsidR="00733CA7" w:rsidRPr="003D6C5D" w14:paraId="0D8A570D" w14:textId="77777777" w:rsidTr="004314F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106E0AD9"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AmerBrokers DM</w:t>
            </w:r>
          </w:p>
        </w:tc>
        <w:tc>
          <w:tcPr>
            <w:tcW w:w="1134" w:type="dxa"/>
            <w:noWrap/>
            <w:hideMark/>
          </w:tcPr>
          <w:p w14:paraId="68A2DA61"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56</w:t>
            </w:r>
          </w:p>
        </w:tc>
        <w:tc>
          <w:tcPr>
            <w:tcW w:w="1134" w:type="dxa"/>
            <w:noWrap/>
            <w:hideMark/>
          </w:tcPr>
          <w:p w14:paraId="4AA0BA3E"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50.0%</w:t>
            </w:r>
          </w:p>
        </w:tc>
        <w:tc>
          <w:tcPr>
            <w:tcW w:w="1134" w:type="dxa"/>
            <w:noWrap/>
            <w:hideMark/>
          </w:tcPr>
          <w:p w14:paraId="1315B1CB"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0.71</w:t>
            </w:r>
          </w:p>
        </w:tc>
        <w:tc>
          <w:tcPr>
            <w:tcW w:w="1134" w:type="dxa"/>
            <w:noWrap/>
            <w:hideMark/>
          </w:tcPr>
          <w:p w14:paraId="42528759"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-0.14</w:t>
            </w:r>
          </w:p>
        </w:tc>
        <w:tc>
          <w:tcPr>
            <w:tcW w:w="1134" w:type="dxa"/>
            <w:noWrap/>
            <w:vAlign w:val="bottom"/>
            <w:hideMark/>
          </w:tcPr>
          <w:p w14:paraId="731F298F"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39.3%</w:t>
            </w:r>
          </w:p>
        </w:tc>
      </w:tr>
      <w:tr w:rsidR="00733CA7" w:rsidRPr="003D6C5D" w14:paraId="32B5E8C3" w14:textId="77777777" w:rsidTr="004314F5">
        <w:trPr>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0F3A4A31"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Societe General</w:t>
            </w:r>
          </w:p>
        </w:tc>
        <w:tc>
          <w:tcPr>
            <w:tcW w:w="1134" w:type="dxa"/>
            <w:noWrap/>
            <w:hideMark/>
          </w:tcPr>
          <w:p w14:paraId="4A3D03AE"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63</w:t>
            </w:r>
          </w:p>
        </w:tc>
        <w:tc>
          <w:tcPr>
            <w:tcW w:w="1134" w:type="dxa"/>
            <w:noWrap/>
            <w:hideMark/>
          </w:tcPr>
          <w:p w14:paraId="21C307CC"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54.0%</w:t>
            </w:r>
          </w:p>
        </w:tc>
        <w:tc>
          <w:tcPr>
            <w:tcW w:w="1134" w:type="dxa"/>
            <w:noWrap/>
            <w:hideMark/>
          </w:tcPr>
          <w:p w14:paraId="520EF1ED"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0.58</w:t>
            </w:r>
          </w:p>
        </w:tc>
        <w:tc>
          <w:tcPr>
            <w:tcW w:w="1134" w:type="dxa"/>
            <w:noWrap/>
            <w:hideMark/>
          </w:tcPr>
          <w:p w14:paraId="2264029E"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-0.15</w:t>
            </w:r>
          </w:p>
        </w:tc>
        <w:tc>
          <w:tcPr>
            <w:tcW w:w="1134" w:type="dxa"/>
            <w:noWrap/>
            <w:vAlign w:val="bottom"/>
            <w:hideMark/>
          </w:tcPr>
          <w:p w14:paraId="71C521FD"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46.0%</w:t>
            </w:r>
          </w:p>
        </w:tc>
      </w:tr>
      <w:tr w:rsidR="00733CA7" w:rsidRPr="003D6C5D" w14:paraId="4C7EAA65" w14:textId="77777777" w:rsidTr="004314F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07AF5271"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BESI</w:t>
            </w:r>
          </w:p>
        </w:tc>
        <w:tc>
          <w:tcPr>
            <w:tcW w:w="1134" w:type="dxa"/>
            <w:noWrap/>
            <w:hideMark/>
          </w:tcPr>
          <w:p w14:paraId="6BFA651B"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162</w:t>
            </w:r>
          </w:p>
        </w:tc>
        <w:tc>
          <w:tcPr>
            <w:tcW w:w="1134" w:type="dxa"/>
            <w:noWrap/>
            <w:hideMark/>
          </w:tcPr>
          <w:p w14:paraId="0005B586"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50.6%</w:t>
            </w:r>
          </w:p>
        </w:tc>
        <w:tc>
          <w:tcPr>
            <w:tcW w:w="1134" w:type="dxa"/>
            <w:noWrap/>
            <w:hideMark/>
          </w:tcPr>
          <w:p w14:paraId="76117AC4"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0.68</w:t>
            </w:r>
          </w:p>
        </w:tc>
        <w:tc>
          <w:tcPr>
            <w:tcW w:w="1134" w:type="dxa"/>
            <w:noWrap/>
            <w:hideMark/>
          </w:tcPr>
          <w:p w14:paraId="179FAE0A"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-0.15</w:t>
            </w:r>
          </w:p>
        </w:tc>
        <w:tc>
          <w:tcPr>
            <w:tcW w:w="1134" w:type="dxa"/>
            <w:noWrap/>
            <w:vAlign w:val="bottom"/>
            <w:hideMark/>
          </w:tcPr>
          <w:p w14:paraId="63E46835"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34.6%</w:t>
            </w:r>
          </w:p>
        </w:tc>
      </w:tr>
      <w:tr w:rsidR="00733CA7" w:rsidRPr="003D6C5D" w14:paraId="43C1B976" w14:textId="77777777" w:rsidTr="004314F5">
        <w:trPr>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325BC92C"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UniCredit CA IB</w:t>
            </w:r>
          </w:p>
        </w:tc>
        <w:tc>
          <w:tcPr>
            <w:tcW w:w="1134" w:type="dxa"/>
            <w:noWrap/>
            <w:hideMark/>
          </w:tcPr>
          <w:p w14:paraId="064166B8"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198</w:t>
            </w:r>
          </w:p>
        </w:tc>
        <w:tc>
          <w:tcPr>
            <w:tcW w:w="1134" w:type="dxa"/>
            <w:noWrap/>
            <w:hideMark/>
          </w:tcPr>
          <w:p w14:paraId="160E4A22"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53.0%</w:t>
            </w:r>
          </w:p>
        </w:tc>
        <w:tc>
          <w:tcPr>
            <w:tcW w:w="1134" w:type="dxa"/>
            <w:noWrap/>
            <w:hideMark/>
          </w:tcPr>
          <w:p w14:paraId="3D3EB10D"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0.60</w:t>
            </w:r>
          </w:p>
        </w:tc>
        <w:tc>
          <w:tcPr>
            <w:tcW w:w="1134" w:type="dxa"/>
            <w:noWrap/>
            <w:hideMark/>
          </w:tcPr>
          <w:p w14:paraId="291B0A21"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-0.15</w:t>
            </w:r>
          </w:p>
        </w:tc>
        <w:tc>
          <w:tcPr>
            <w:tcW w:w="1134" w:type="dxa"/>
            <w:noWrap/>
            <w:vAlign w:val="bottom"/>
            <w:hideMark/>
          </w:tcPr>
          <w:p w14:paraId="0D6055A1"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35.9%</w:t>
            </w:r>
          </w:p>
        </w:tc>
      </w:tr>
      <w:tr w:rsidR="00733CA7" w:rsidRPr="003D6C5D" w14:paraId="58799D92" w14:textId="77777777" w:rsidTr="004314F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79F4B1A4"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ING Securities</w:t>
            </w:r>
          </w:p>
        </w:tc>
        <w:tc>
          <w:tcPr>
            <w:tcW w:w="1134" w:type="dxa"/>
            <w:noWrap/>
            <w:hideMark/>
          </w:tcPr>
          <w:p w14:paraId="3B4FCF3F"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141</w:t>
            </w:r>
          </w:p>
        </w:tc>
        <w:tc>
          <w:tcPr>
            <w:tcW w:w="1134" w:type="dxa"/>
            <w:noWrap/>
            <w:hideMark/>
          </w:tcPr>
          <w:p w14:paraId="7FCE88A9"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45.4%</w:t>
            </w:r>
          </w:p>
        </w:tc>
        <w:tc>
          <w:tcPr>
            <w:tcW w:w="1134" w:type="dxa"/>
            <w:noWrap/>
            <w:hideMark/>
          </w:tcPr>
          <w:p w14:paraId="315DC75D"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0.79</w:t>
            </w:r>
          </w:p>
        </w:tc>
        <w:tc>
          <w:tcPr>
            <w:tcW w:w="1134" w:type="dxa"/>
            <w:noWrap/>
            <w:hideMark/>
          </w:tcPr>
          <w:p w14:paraId="75B5F9F2"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-0.19</w:t>
            </w:r>
          </w:p>
        </w:tc>
        <w:tc>
          <w:tcPr>
            <w:tcW w:w="1134" w:type="dxa"/>
            <w:noWrap/>
            <w:vAlign w:val="bottom"/>
            <w:hideMark/>
          </w:tcPr>
          <w:p w14:paraId="6142BDD6"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31.9%</w:t>
            </w:r>
          </w:p>
        </w:tc>
      </w:tr>
      <w:tr w:rsidR="00733CA7" w:rsidRPr="003D6C5D" w14:paraId="779C6766" w14:textId="77777777" w:rsidTr="004314F5">
        <w:trPr>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4C9EDA48"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UBS</w:t>
            </w:r>
          </w:p>
        </w:tc>
        <w:tc>
          <w:tcPr>
            <w:tcW w:w="1134" w:type="dxa"/>
            <w:noWrap/>
            <w:hideMark/>
          </w:tcPr>
          <w:p w14:paraId="0528D9BF"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78</w:t>
            </w:r>
          </w:p>
        </w:tc>
        <w:tc>
          <w:tcPr>
            <w:tcW w:w="1134" w:type="dxa"/>
            <w:noWrap/>
            <w:hideMark/>
          </w:tcPr>
          <w:p w14:paraId="0B3622D9"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57.7%</w:t>
            </w:r>
          </w:p>
        </w:tc>
        <w:tc>
          <w:tcPr>
            <w:tcW w:w="1134" w:type="dxa"/>
            <w:noWrap/>
            <w:hideMark/>
          </w:tcPr>
          <w:p w14:paraId="36E3839F"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0.36</w:t>
            </w:r>
          </w:p>
        </w:tc>
        <w:tc>
          <w:tcPr>
            <w:tcW w:w="1134" w:type="dxa"/>
            <w:noWrap/>
            <w:hideMark/>
          </w:tcPr>
          <w:p w14:paraId="513D4BB8"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-0.22</w:t>
            </w:r>
          </w:p>
        </w:tc>
        <w:tc>
          <w:tcPr>
            <w:tcW w:w="1134" w:type="dxa"/>
            <w:noWrap/>
            <w:vAlign w:val="bottom"/>
            <w:hideMark/>
          </w:tcPr>
          <w:p w14:paraId="378EAD55"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41.0%</w:t>
            </w:r>
          </w:p>
        </w:tc>
      </w:tr>
      <w:tr w:rsidR="00733CA7" w:rsidRPr="003D6C5D" w14:paraId="00D967F2" w14:textId="77777777" w:rsidTr="004314F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4637A5DF"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JP Morgan</w:t>
            </w:r>
          </w:p>
        </w:tc>
        <w:tc>
          <w:tcPr>
            <w:tcW w:w="1134" w:type="dxa"/>
            <w:noWrap/>
            <w:hideMark/>
          </w:tcPr>
          <w:p w14:paraId="5FE3328D"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58</w:t>
            </w:r>
          </w:p>
        </w:tc>
        <w:tc>
          <w:tcPr>
            <w:tcW w:w="1134" w:type="dxa"/>
            <w:noWrap/>
            <w:hideMark/>
          </w:tcPr>
          <w:p w14:paraId="2A17438F"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46.6%</w:t>
            </w:r>
          </w:p>
        </w:tc>
        <w:tc>
          <w:tcPr>
            <w:tcW w:w="1134" w:type="dxa"/>
            <w:noWrap/>
            <w:hideMark/>
          </w:tcPr>
          <w:p w14:paraId="598793D9"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0.67</w:t>
            </w:r>
          </w:p>
        </w:tc>
        <w:tc>
          <w:tcPr>
            <w:tcW w:w="1134" w:type="dxa"/>
            <w:noWrap/>
            <w:hideMark/>
          </w:tcPr>
          <w:p w14:paraId="413FCFF0"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-0.22</w:t>
            </w:r>
          </w:p>
        </w:tc>
        <w:tc>
          <w:tcPr>
            <w:tcW w:w="1134" w:type="dxa"/>
            <w:noWrap/>
            <w:vAlign w:val="bottom"/>
            <w:hideMark/>
          </w:tcPr>
          <w:p w14:paraId="4818F770"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32.8%</w:t>
            </w:r>
          </w:p>
        </w:tc>
      </w:tr>
      <w:tr w:rsidR="00733CA7" w:rsidRPr="003D6C5D" w14:paraId="5EBE91E7" w14:textId="77777777" w:rsidTr="004314F5">
        <w:trPr>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2F7563BD"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ING Wholesale Bank.</w:t>
            </w:r>
          </w:p>
        </w:tc>
        <w:tc>
          <w:tcPr>
            <w:tcW w:w="1134" w:type="dxa"/>
            <w:noWrap/>
            <w:hideMark/>
          </w:tcPr>
          <w:p w14:paraId="458025AC"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27</w:t>
            </w:r>
          </w:p>
        </w:tc>
        <w:tc>
          <w:tcPr>
            <w:tcW w:w="1134" w:type="dxa"/>
            <w:noWrap/>
            <w:hideMark/>
          </w:tcPr>
          <w:p w14:paraId="60321EEC"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48.1%</w:t>
            </w:r>
          </w:p>
        </w:tc>
        <w:tc>
          <w:tcPr>
            <w:tcW w:w="1134" w:type="dxa"/>
            <w:noWrap/>
            <w:hideMark/>
          </w:tcPr>
          <w:p w14:paraId="7DD92763"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0.47</w:t>
            </w:r>
          </w:p>
        </w:tc>
        <w:tc>
          <w:tcPr>
            <w:tcW w:w="1134" w:type="dxa"/>
            <w:noWrap/>
            <w:hideMark/>
          </w:tcPr>
          <w:p w14:paraId="0EC8F123"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-0.29</w:t>
            </w:r>
          </w:p>
        </w:tc>
        <w:tc>
          <w:tcPr>
            <w:tcW w:w="1134" w:type="dxa"/>
            <w:noWrap/>
            <w:vAlign w:val="bottom"/>
            <w:hideMark/>
          </w:tcPr>
          <w:p w14:paraId="4DD77C0B"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25.9%</w:t>
            </w:r>
          </w:p>
        </w:tc>
      </w:tr>
      <w:tr w:rsidR="00733CA7" w:rsidRPr="003D6C5D" w14:paraId="5DAE66BB" w14:textId="77777777" w:rsidTr="004314F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4FF037F0" w14:textId="77777777" w:rsidR="00733CA7" w:rsidRPr="003D6C5D" w:rsidRDefault="00733CA7" w:rsidP="00272E65">
            <w:pPr>
              <w:spacing w:before="0" w:after="0" w:line="360" w:lineRule="auto"/>
              <w:rPr>
                <w:rFonts w:ascii="Times New Roman" w:hAnsi="Times New Roman" w:cs="Times New Roman"/>
                <w:sz w:val="24"/>
                <w:szCs w:val="24"/>
                <w:lang w:val="en-US"/>
              </w:rPr>
            </w:pPr>
            <w:r w:rsidRPr="003D6C5D">
              <w:rPr>
                <w:rFonts w:ascii="Times New Roman" w:hAnsi="Times New Roman" w:cs="Times New Roman"/>
                <w:sz w:val="24"/>
                <w:szCs w:val="24"/>
                <w:lang w:val="en-US"/>
              </w:rPr>
              <w:t>Credit Suisse</w:t>
            </w:r>
          </w:p>
        </w:tc>
        <w:tc>
          <w:tcPr>
            <w:tcW w:w="1134" w:type="dxa"/>
            <w:noWrap/>
            <w:hideMark/>
          </w:tcPr>
          <w:p w14:paraId="4D9ED70A"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65</w:t>
            </w:r>
          </w:p>
        </w:tc>
        <w:tc>
          <w:tcPr>
            <w:tcW w:w="1134" w:type="dxa"/>
            <w:noWrap/>
            <w:hideMark/>
          </w:tcPr>
          <w:p w14:paraId="61AC8734"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49.2%</w:t>
            </w:r>
          </w:p>
        </w:tc>
        <w:tc>
          <w:tcPr>
            <w:tcW w:w="1134" w:type="dxa"/>
            <w:noWrap/>
            <w:hideMark/>
          </w:tcPr>
          <w:p w14:paraId="32CBB74C"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0.40</w:t>
            </w:r>
          </w:p>
        </w:tc>
        <w:tc>
          <w:tcPr>
            <w:tcW w:w="1134" w:type="dxa"/>
            <w:noWrap/>
            <w:hideMark/>
          </w:tcPr>
          <w:p w14:paraId="4C43BD8B"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-0.31</w:t>
            </w:r>
          </w:p>
        </w:tc>
        <w:tc>
          <w:tcPr>
            <w:tcW w:w="1134" w:type="dxa"/>
            <w:noWrap/>
            <w:vAlign w:val="bottom"/>
            <w:hideMark/>
          </w:tcPr>
          <w:p w14:paraId="5DCB5CA7"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35.4%</w:t>
            </w:r>
          </w:p>
        </w:tc>
      </w:tr>
      <w:tr w:rsidR="00733CA7" w:rsidRPr="003D6C5D" w14:paraId="7A260773" w14:textId="77777777" w:rsidTr="004314F5">
        <w:trPr>
          <w:trHeight w:val="288"/>
        </w:trPr>
        <w:tc>
          <w:tcPr>
            <w:cnfStyle w:val="001000000000" w:firstRow="0" w:lastRow="0" w:firstColumn="1" w:lastColumn="0" w:oddVBand="0" w:evenVBand="0" w:oddHBand="0" w:evenHBand="0" w:firstRowFirstColumn="0" w:firstRowLastColumn="0" w:lastRowFirstColumn="0" w:lastRowLastColumn="0"/>
            <w:tcW w:w="2268" w:type="dxa"/>
            <w:noWrap/>
          </w:tcPr>
          <w:p w14:paraId="06A7FBA3" w14:textId="77777777" w:rsidR="00733CA7" w:rsidRPr="003D6C5D" w:rsidRDefault="00CA2376" w:rsidP="00272E65">
            <w:pPr>
              <w:spacing w:before="0" w:after="0" w:line="360" w:lineRule="auto"/>
              <w:rPr>
                <w:rFonts w:ascii="Times New Roman" w:hAnsi="Times New Roman" w:cs="Times New Roman"/>
                <w:sz w:val="24"/>
                <w:szCs w:val="24"/>
                <w:lang w:val="en-US"/>
              </w:rPr>
            </w:pPr>
            <w:r w:rsidRPr="003D6C5D">
              <w:rPr>
                <w:rFonts w:ascii="Times New Roman" w:hAnsi="Times New Roman" w:cs="Times New Roman"/>
                <w:sz w:val="24"/>
                <w:szCs w:val="24"/>
                <w:lang w:val="en-US"/>
              </w:rPr>
              <w:t>A</w:t>
            </w:r>
            <w:r w:rsidR="00733CA7" w:rsidRPr="003D6C5D">
              <w:rPr>
                <w:rFonts w:ascii="Times New Roman" w:hAnsi="Times New Roman" w:cs="Times New Roman"/>
                <w:sz w:val="24"/>
                <w:szCs w:val="24"/>
                <w:lang w:val="en-US"/>
              </w:rPr>
              <w:t>verage</w:t>
            </w:r>
          </w:p>
        </w:tc>
        <w:tc>
          <w:tcPr>
            <w:tcW w:w="1134" w:type="dxa"/>
            <w:noWrap/>
          </w:tcPr>
          <w:p w14:paraId="756D5EAC"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D6C5D">
              <w:rPr>
                <w:rFonts w:ascii="Times New Roman" w:hAnsi="Times New Roman" w:cs="Times New Roman"/>
                <w:b/>
                <w:sz w:val="24"/>
                <w:szCs w:val="24"/>
              </w:rPr>
              <w:t>175</w:t>
            </w:r>
          </w:p>
        </w:tc>
        <w:tc>
          <w:tcPr>
            <w:tcW w:w="1134" w:type="dxa"/>
            <w:noWrap/>
          </w:tcPr>
          <w:p w14:paraId="7FD5F11B"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D6C5D">
              <w:rPr>
                <w:rFonts w:ascii="Times New Roman" w:hAnsi="Times New Roman" w:cs="Times New Roman"/>
                <w:b/>
                <w:sz w:val="24"/>
                <w:szCs w:val="24"/>
              </w:rPr>
              <w:t>59.0%</w:t>
            </w:r>
          </w:p>
        </w:tc>
        <w:tc>
          <w:tcPr>
            <w:tcW w:w="1134" w:type="dxa"/>
            <w:noWrap/>
          </w:tcPr>
          <w:p w14:paraId="4D8F8621"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D6C5D">
              <w:rPr>
                <w:rFonts w:ascii="Times New Roman" w:hAnsi="Times New Roman" w:cs="Times New Roman"/>
                <w:b/>
                <w:sz w:val="24"/>
                <w:szCs w:val="24"/>
              </w:rPr>
              <w:t>0.73</w:t>
            </w:r>
          </w:p>
        </w:tc>
        <w:tc>
          <w:tcPr>
            <w:tcW w:w="1134" w:type="dxa"/>
            <w:noWrap/>
          </w:tcPr>
          <w:p w14:paraId="16197A6E"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D6C5D">
              <w:rPr>
                <w:rFonts w:ascii="Times New Roman" w:hAnsi="Times New Roman" w:cs="Times New Roman"/>
                <w:b/>
                <w:sz w:val="24"/>
                <w:szCs w:val="24"/>
              </w:rPr>
              <w:t>0.02</w:t>
            </w:r>
          </w:p>
        </w:tc>
        <w:tc>
          <w:tcPr>
            <w:tcW w:w="1134" w:type="dxa"/>
            <w:noWrap/>
          </w:tcPr>
          <w:p w14:paraId="6A7A8AA7"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D6C5D">
              <w:rPr>
                <w:rFonts w:ascii="Times New Roman" w:hAnsi="Times New Roman" w:cs="Times New Roman"/>
                <w:b/>
                <w:sz w:val="24"/>
                <w:szCs w:val="24"/>
              </w:rPr>
              <w:t>41.4%</w:t>
            </w:r>
          </w:p>
        </w:tc>
      </w:tr>
    </w:tbl>
    <w:p w14:paraId="1FF8BE5D" w14:textId="77777777" w:rsidR="00733CA7" w:rsidRPr="003D6C5D" w:rsidRDefault="00733CA7" w:rsidP="0071390A">
      <w:pPr>
        <w:spacing w:before="0" w:after="0" w:line="360" w:lineRule="auto"/>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Source:</w:t>
      </w:r>
      <w:r w:rsidR="002C39BE">
        <w:rPr>
          <w:rFonts w:ascii="Times New Roman" w:hAnsi="Times New Roman" w:cs="Times New Roman"/>
          <w:sz w:val="24"/>
          <w:szCs w:val="24"/>
          <w:lang w:val="en-US" w:eastAsia="de-DE"/>
        </w:rPr>
        <w:t xml:space="preserve"> </w:t>
      </w:r>
      <w:r w:rsidR="00792571">
        <w:rPr>
          <w:rFonts w:ascii="Times New Roman" w:hAnsi="Times New Roman" w:cs="Times New Roman"/>
          <w:sz w:val="24"/>
          <w:szCs w:val="24"/>
          <w:lang w:val="en-US" w:eastAsia="de-DE"/>
        </w:rPr>
        <w:t>authors’</w:t>
      </w:r>
      <w:r w:rsidRPr="003D6C5D">
        <w:rPr>
          <w:rFonts w:ascii="Times New Roman" w:hAnsi="Times New Roman" w:cs="Times New Roman"/>
          <w:sz w:val="24"/>
          <w:szCs w:val="24"/>
          <w:lang w:val="en-US" w:eastAsia="de-DE"/>
        </w:rPr>
        <w:t xml:space="preserve"> own calculations</w:t>
      </w:r>
    </w:p>
    <w:p w14:paraId="24ABCBBB" w14:textId="77777777" w:rsidR="00733CA7" w:rsidRPr="003D6C5D" w:rsidRDefault="00733CA7" w:rsidP="0071390A">
      <w:pPr>
        <w:spacing w:before="0" w:after="0" w:line="360" w:lineRule="auto"/>
        <w:ind w:firstLine="426"/>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 xml:space="preserve">The most active institution is brokerage house of mBank (DM mBank) with 610 recommendations within 10 years. Unfortunately, the results cannot be satisfactory for clients because of neutral expected value, which means no gains and no losses. Other most active recommenders have better performance. Especially it is worth to mention the results of BOŚ DM which is one of the top 3 Polish recommenders with adorable Ex of 0,3, accuracy (63.3%) better than average (59%) and one of the best P/L ratio (1.05) in this ranking. Similar performance to BOŚ DM is also achieved by Noble Securities and BGŻ BM, however they are rather restrained recommenders and publish buying or selling incentives for investors only a few times a year. That is why BOŚ DM should be treated as a top reco-performer among other financial institutions. </w:t>
      </w:r>
    </w:p>
    <w:p w14:paraId="6DB38585" w14:textId="77777777" w:rsidR="00733CA7" w:rsidRPr="003D6C5D" w:rsidRDefault="00E44205" w:rsidP="0071390A">
      <w:pPr>
        <w:spacing w:before="0" w:after="0" w:line="360" w:lineRule="auto"/>
        <w:ind w:firstLine="426"/>
        <w:jc w:val="both"/>
        <w:rPr>
          <w:rFonts w:ascii="Times New Roman" w:hAnsi="Times New Roman" w:cs="Times New Roman"/>
          <w:sz w:val="24"/>
          <w:szCs w:val="24"/>
          <w:lang w:val="en-US" w:eastAsia="de-DE"/>
        </w:rPr>
      </w:pPr>
      <w:r>
        <w:rPr>
          <w:rFonts w:ascii="Times New Roman" w:hAnsi="Times New Roman" w:cs="Times New Roman"/>
          <w:sz w:val="24"/>
          <w:szCs w:val="24"/>
          <w:lang w:val="en-US" w:eastAsia="de-DE"/>
        </w:rPr>
        <w:t xml:space="preserve">Crucial </w:t>
      </w:r>
      <w:r w:rsidR="00733CA7" w:rsidRPr="003D6C5D">
        <w:rPr>
          <w:rFonts w:ascii="Times New Roman" w:hAnsi="Times New Roman" w:cs="Times New Roman"/>
          <w:sz w:val="24"/>
          <w:szCs w:val="24"/>
          <w:lang w:val="en-US" w:eastAsia="de-DE"/>
        </w:rPr>
        <w:t xml:space="preserve">parameter for individual investors is accuracy, which informs how often the recommender gives positive trading suggestion and is simply right. It must be admitted that accuracy is in general at pretty high level and among gainers (positive expected value) it usually exceeds 60%. The highest accuracy is offered by Goldman Sachs, </w:t>
      </w:r>
      <w:r w:rsidR="00733CA7" w:rsidRPr="003D6C5D">
        <w:rPr>
          <w:rFonts w:ascii="Times New Roman" w:hAnsi="Times New Roman" w:cs="Times New Roman"/>
          <w:sz w:val="24"/>
          <w:szCs w:val="24"/>
          <w:lang w:val="en-US" w:eastAsia="de-DE"/>
        </w:rPr>
        <w:lastRenderedPageBreak/>
        <w:t xml:space="preserve">nevertheless this bank overall performance is rather mediocre due to the lowest P/L ratio among gainers. </w:t>
      </w:r>
    </w:p>
    <w:p w14:paraId="1B162F30" w14:textId="77777777" w:rsidR="00733CA7" w:rsidRPr="003D6C5D" w:rsidRDefault="00733CA7" w:rsidP="0071390A">
      <w:pPr>
        <w:spacing w:before="0" w:after="0" w:line="360" w:lineRule="auto"/>
        <w:ind w:firstLine="426"/>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 xml:space="preserve">P/L ratio turned out to be the most negatively surprising parameter in the whole research. It is commonly known that financial institutions aim at mid-term trends in their recommendation. Such approach in investments usually causes low accuracy (below 50%) with P/L ratio above 2. In presented results, none of recommenders even comes close to these values. Only top 3 institutions exceed P/L ratio of 1, with overall average value of 0.73 and only 0.61 among losers. Low P/L ratio at trending strategies is most commonly responsible for negative results. </w:t>
      </w:r>
    </w:p>
    <w:p w14:paraId="3D1CFF42" w14:textId="77777777" w:rsidR="00733CA7" w:rsidRPr="003D6C5D" w:rsidRDefault="00733CA7" w:rsidP="0071390A">
      <w:pPr>
        <w:spacing w:before="0" w:after="0" w:line="360" w:lineRule="auto"/>
        <w:ind w:firstLine="426"/>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 xml:space="preserve">It is worth to notice, that poor level of P/L ratio cannot be covered even by impressively high accuracy. The best example of such case is Citigroup – they are right in almost 64% cases (it is more than the winners), but their profits on every trade are far too low in comparison to losses when they are not right. Naturally P/L ratio below 1 with accuracy under 50% strongly leads to disaster. </w:t>
      </w:r>
    </w:p>
    <w:p w14:paraId="1C795102" w14:textId="77777777" w:rsidR="00733CA7" w:rsidRPr="003D6C5D" w:rsidRDefault="00733CA7" w:rsidP="0071390A">
      <w:pPr>
        <w:spacing w:before="0" w:after="0" w:line="360" w:lineRule="auto"/>
        <w:ind w:firstLine="426"/>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 xml:space="preserve">Beside the general accuracy, the results of this research also present the target accuracy. In this field majority of the financial institutions have nothing to be praised for. Averagely only 41.4% of proposed targets are hit by the stock price, no one exceeds 50% and there are even recommenders that are right in only quarter of their publications. Target price is the weakest point of any analyst that prepare recommendations. </w:t>
      </w:r>
    </w:p>
    <w:p w14:paraId="75257EE2" w14:textId="77777777" w:rsidR="00733CA7" w:rsidRPr="003D6C5D" w:rsidRDefault="00733CA7" w:rsidP="0071390A">
      <w:pPr>
        <w:spacing w:before="0" w:after="0" w:line="360" w:lineRule="auto"/>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Non-regular recommenders should not be compared directly with financial institutions that provide trading set-ups on daily, weekly or even monthly basis. That is why their performances are separated, nevertheless there can be found some interesting results.</w:t>
      </w:r>
    </w:p>
    <w:p w14:paraId="3A81970B" w14:textId="77777777" w:rsidR="00733CA7" w:rsidRPr="003D6C5D" w:rsidRDefault="00733CA7" w:rsidP="0071390A">
      <w:pPr>
        <w:spacing w:before="0" w:after="0" w:line="360" w:lineRule="auto"/>
        <w:jc w:val="both"/>
        <w:rPr>
          <w:rFonts w:ascii="Times New Roman" w:hAnsi="Times New Roman" w:cs="Times New Roman"/>
          <w:i/>
          <w:iCs/>
          <w:sz w:val="24"/>
          <w:szCs w:val="24"/>
          <w:lang w:val="en-US" w:eastAsia="de-DE"/>
        </w:rPr>
      </w:pPr>
      <w:r w:rsidRPr="003D6C5D">
        <w:rPr>
          <w:rFonts w:ascii="Times New Roman" w:hAnsi="Times New Roman" w:cs="Times New Roman"/>
          <w:i/>
          <w:iCs/>
          <w:sz w:val="24"/>
          <w:szCs w:val="24"/>
          <w:lang w:val="en-US" w:eastAsia="de-DE"/>
        </w:rPr>
        <w:t xml:space="preserve">Table </w:t>
      </w:r>
      <w:r w:rsidRPr="003D6C5D">
        <w:rPr>
          <w:rFonts w:ascii="Times New Roman" w:hAnsi="Times New Roman" w:cs="Times New Roman"/>
          <w:i/>
          <w:iCs/>
          <w:sz w:val="24"/>
          <w:szCs w:val="24"/>
          <w:lang w:eastAsia="de-DE"/>
        </w:rPr>
        <w:fldChar w:fldCharType="begin"/>
      </w:r>
      <w:r w:rsidRPr="003D6C5D">
        <w:rPr>
          <w:rFonts w:ascii="Times New Roman" w:hAnsi="Times New Roman" w:cs="Times New Roman"/>
          <w:i/>
          <w:iCs/>
          <w:sz w:val="24"/>
          <w:szCs w:val="24"/>
          <w:lang w:val="en-US" w:eastAsia="de-DE"/>
        </w:rPr>
        <w:instrText xml:space="preserve"> SEQ Table \* ARABIC </w:instrText>
      </w:r>
      <w:r w:rsidRPr="003D6C5D">
        <w:rPr>
          <w:rFonts w:ascii="Times New Roman" w:hAnsi="Times New Roman" w:cs="Times New Roman"/>
          <w:i/>
          <w:iCs/>
          <w:sz w:val="24"/>
          <w:szCs w:val="24"/>
          <w:lang w:eastAsia="de-DE"/>
        </w:rPr>
        <w:fldChar w:fldCharType="separate"/>
      </w:r>
      <w:r w:rsidRPr="003D6C5D">
        <w:rPr>
          <w:rFonts w:ascii="Times New Roman" w:hAnsi="Times New Roman" w:cs="Times New Roman"/>
          <w:i/>
          <w:iCs/>
          <w:sz w:val="24"/>
          <w:szCs w:val="24"/>
          <w:lang w:val="en-US" w:eastAsia="de-DE"/>
        </w:rPr>
        <w:t>2</w:t>
      </w:r>
      <w:r w:rsidRPr="003D6C5D">
        <w:rPr>
          <w:rFonts w:ascii="Times New Roman" w:hAnsi="Times New Roman" w:cs="Times New Roman"/>
          <w:sz w:val="24"/>
          <w:szCs w:val="24"/>
          <w:lang w:val="en-US" w:eastAsia="de-DE"/>
        </w:rPr>
        <w:fldChar w:fldCharType="end"/>
      </w:r>
      <w:r w:rsidRPr="003D6C5D">
        <w:rPr>
          <w:rFonts w:ascii="Times New Roman" w:hAnsi="Times New Roman" w:cs="Times New Roman"/>
          <w:i/>
          <w:iCs/>
          <w:sz w:val="24"/>
          <w:szCs w:val="24"/>
          <w:lang w:val="en-US" w:eastAsia="de-DE"/>
        </w:rPr>
        <w:t xml:space="preserve"> Recommenders performance (non-regular)</w:t>
      </w:r>
    </w:p>
    <w:tbl>
      <w:tblPr>
        <w:tblStyle w:val="Zwykatabela2"/>
        <w:tblW w:w="7938" w:type="dxa"/>
        <w:tblLook w:val="04A0" w:firstRow="1" w:lastRow="0" w:firstColumn="1" w:lastColumn="0" w:noHBand="0" w:noVBand="1"/>
      </w:tblPr>
      <w:tblGrid>
        <w:gridCol w:w="2268"/>
        <w:gridCol w:w="1134"/>
        <w:gridCol w:w="1136"/>
        <w:gridCol w:w="1134"/>
        <w:gridCol w:w="1134"/>
        <w:gridCol w:w="1134"/>
      </w:tblGrid>
      <w:tr w:rsidR="00733CA7" w:rsidRPr="003D6C5D" w14:paraId="5D9C8A98" w14:textId="77777777" w:rsidTr="004314F5">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2268" w:type="dxa"/>
            <w:noWrap/>
          </w:tcPr>
          <w:p w14:paraId="188C4D0D" w14:textId="77777777" w:rsidR="00733CA7" w:rsidRPr="003D6C5D" w:rsidRDefault="00844ECD"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R</w:t>
            </w:r>
            <w:r w:rsidR="00733CA7" w:rsidRPr="003D6C5D">
              <w:rPr>
                <w:rFonts w:ascii="Times New Roman" w:hAnsi="Times New Roman" w:cs="Times New Roman"/>
                <w:sz w:val="24"/>
                <w:szCs w:val="24"/>
              </w:rPr>
              <w:t>ecommender</w:t>
            </w:r>
          </w:p>
        </w:tc>
        <w:tc>
          <w:tcPr>
            <w:tcW w:w="1134" w:type="dxa"/>
            <w:noWrap/>
          </w:tcPr>
          <w:p w14:paraId="5974AD35" w14:textId="77777777" w:rsidR="00733CA7" w:rsidRPr="003D6C5D" w:rsidRDefault="00733CA7" w:rsidP="0071390A">
            <w:pPr>
              <w:spacing w:before="0"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#recos</w:t>
            </w:r>
          </w:p>
        </w:tc>
        <w:tc>
          <w:tcPr>
            <w:tcW w:w="1134" w:type="dxa"/>
            <w:noWrap/>
          </w:tcPr>
          <w:p w14:paraId="6C25C103" w14:textId="77777777" w:rsidR="00733CA7" w:rsidRPr="003D6C5D" w:rsidRDefault="00733CA7" w:rsidP="0071390A">
            <w:pPr>
              <w:spacing w:before="0"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accuracy</w:t>
            </w:r>
          </w:p>
        </w:tc>
        <w:tc>
          <w:tcPr>
            <w:tcW w:w="1134" w:type="dxa"/>
            <w:noWrap/>
          </w:tcPr>
          <w:p w14:paraId="7F6A8C78" w14:textId="77777777" w:rsidR="00733CA7" w:rsidRPr="003D6C5D" w:rsidRDefault="00733CA7" w:rsidP="0071390A">
            <w:pPr>
              <w:spacing w:before="0"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P/L ratio</w:t>
            </w:r>
          </w:p>
        </w:tc>
        <w:tc>
          <w:tcPr>
            <w:tcW w:w="1134" w:type="dxa"/>
            <w:noWrap/>
          </w:tcPr>
          <w:p w14:paraId="359BC584" w14:textId="77777777" w:rsidR="00733CA7" w:rsidRPr="003D6C5D" w:rsidRDefault="00733CA7" w:rsidP="0071390A">
            <w:pPr>
              <w:spacing w:before="0"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Ex</w:t>
            </w:r>
          </w:p>
        </w:tc>
        <w:tc>
          <w:tcPr>
            <w:tcW w:w="1134" w:type="dxa"/>
            <w:noWrap/>
          </w:tcPr>
          <w:p w14:paraId="33F51E6A" w14:textId="77777777" w:rsidR="00733CA7" w:rsidRPr="003D6C5D" w:rsidRDefault="00733CA7" w:rsidP="0071390A">
            <w:pPr>
              <w:spacing w:before="0"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target</w:t>
            </w:r>
          </w:p>
        </w:tc>
      </w:tr>
      <w:tr w:rsidR="00733CA7" w:rsidRPr="003D6C5D" w14:paraId="3586A8DD" w14:textId="77777777" w:rsidTr="004314F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597DCB00"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Barclays</w:t>
            </w:r>
          </w:p>
        </w:tc>
        <w:tc>
          <w:tcPr>
            <w:tcW w:w="1134" w:type="dxa"/>
            <w:noWrap/>
            <w:hideMark/>
          </w:tcPr>
          <w:p w14:paraId="49E19A6A"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13</w:t>
            </w:r>
          </w:p>
        </w:tc>
        <w:tc>
          <w:tcPr>
            <w:tcW w:w="1134" w:type="dxa"/>
            <w:noWrap/>
            <w:hideMark/>
          </w:tcPr>
          <w:p w14:paraId="6EED9F0F"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76.9%</w:t>
            </w:r>
          </w:p>
        </w:tc>
        <w:tc>
          <w:tcPr>
            <w:tcW w:w="1134" w:type="dxa"/>
            <w:noWrap/>
            <w:hideMark/>
          </w:tcPr>
          <w:p w14:paraId="2CFBF863"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1.52</w:t>
            </w:r>
          </w:p>
        </w:tc>
        <w:tc>
          <w:tcPr>
            <w:tcW w:w="1134" w:type="dxa"/>
            <w:noWrap/>
            <w:hideMark/>
          </w:tcPr>
          <w:p w14:paraId="5974C435"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0.94</w:t>
            </w:r>
          </w:p>
        </w:tc>
        <w:tc>
          <w:tcPr>
            <w:tcW w:w="1134" w:type="dxa"/>
            <w:noWrap/>
            <w:vAlign w:val="bottom"/>
            <w:hideMark/>
          </w:tcPr>
          <w:p w14:paraId="6F9801B6"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69.2%</w:t>
            </w:r>
          </w:p>
        </w:tc>
      </w:tr>
      <w:tr w:rsidR="00733CA7" w:rsidRPr="003D6C5D" w14:paraId="42FE9D99" w14:textId="77777777" w:rsidTr="004314F5">
        <w:trPr>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0A0908F8"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ABN AMRO Securities</w:t>
            </w:r>
          </w:p>
        </w:tc>
        <w:tc>
          <w:tcPr>
            <w:tcW w:w="1134" w:type="dxa"/>
            <w:noWrap/>
            <w:hideMark/>
          </w:tcPr>
          <w:p w14:paraId="17A9CE0A"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7</w:t>
            </w:r>
          </w:p>
        </w:tc>
        <w:tc>
          <w:tcPr>
            <w:tcW w:w="1134" w:type="dxa"/>
            <w:noWrap/>
            <w:hideMark/>
          </w:tcPr>
          <w:p w14:paraId="68521518"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85.7%</w:t>
            </w:r>
          </w:p>
        </w:tc>
        <w:tc>
          <w:tcPr>
            <w:tcW w:w="1134" w:type="dxa"/>
            <w:noWrap/>
            <w:hideMark/>
          </w:tcPr>
          <w:p w14:paraId="30003427"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1.23</w:t>
            </w:r>
          </w:p>
        </w:tc>
        <w:tc>
          <w:tcPr>
            <w:tcW w:w="1134" w:type="dxa"/>
            <w:noWrap/>
            <w:hideMark/>
          </w:tcPr>
          <w:p w14:paraId="12DD8E5E"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0.91</w:t>
            </w:r>
          </w:p>
        </w:tc>
        <w:tc>
          <w:tcPr>
            <w:tcW w:w="1134" w:type="dxa"/>
            <w:noWrap/>
            <w:vAlign w:val="bottom"/>
            <w:hideMark/>
          </w:tcPr>
          <w:p w14:paraId="58AB6997"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14.3%</w:t>
            </w:r>
          </w:p>
        </w:tc>
      </w:tr>
      <w:tr w:rsidR="00733CA7" w:rsidRPr="003D6C5D" w14:paraId="11644B2A" w14:textId="77777777" w:rsidTr="004314F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3CF0C4F5"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East Value Research</w:t>
            </w:r>
          </w:p>
        </w:tc>
        <w:tc>
          <w:tcPr>
            <w:tcW w:w="1134" w:type="dxa"/>
            <w:noWrap/>
            <w:hideMark/>
          </w:tcPr>
          <w:p w14:paraId="7BC0C4B1"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8</w:t>
            </w:r>
          </w:p>
        </w:tc>
        <w:tc>
          <w:tcPr>
            <w:tcW w:w="1134" w:type="dxa"/>
            <w:noWrap/>
            <w:hideMark/>
          </w:tcPr>
          <w:p w14:paraId="2D46A467"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62.5%</w:t>
            </w:r>
          </w:p>
        </w:tc>
        <w:tc>
          <w:tcPr>
            <w:tcW w:w="1134" w:type="dxa"/>
            <w:noWrap/>
            <w:hideMark/>
          </w:tcPr>
          <w:p w14:paraId="0A1DBEB1"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1.62</w:t>
            </w:r>
          </w:p>
        </w:tc>
        <w:tc>
          <w:tcPr>
            <w:tcW w:w="1134" w:type="dxa"/>
            <w:noWrap/>
            <w:hideMark/>
          </w:tcPr>
          <w:p w14:paraId="3229336A"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0.64</w:t>
            </w:r>
          </w:p>
        </w:tc>
        <w:tc>
          <w:tcPr>
            <w:tcW w:w="1134" w:type="dxa"/>
            <w:noWrap/>
            <w:vAlign w:val="bottom"/>
            <w:hideMark/>
          </w:tcPr>
          <w:p w14:paraId="71A63C4D"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37.5%</w:t>
            </w:r>
          </w:p>
        </w:tc>
      </w:tr>
      <w:tr w:rsidR="00733CA7" w:rsidRPr="003D6C5D" w14:paraId="728F269A" w14:textId="77777777" w:rsidTr="004314F5">
        <w:trPr>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4FA44108"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BPH BM</w:t>
            </w:r>
          </w:p>
        </w:tc>
        <w:tc>
          <w:tcPr>
            <w:tcW w:w="1134" w:type="dxa"/>
            <w:noWrap/>
            <w:hideMark/>
          </w:tcPr>
          <w:p w14:paraId="6B5FA147"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16</w:t>
            </w:r>
          </w:p>
        </w:tc>
        <w:tc>
          <w:tcPr>
            <w:tcW w:w="1134" w:type="dxa"/>
            <w:noWrap/>
            <w:hideMark/>
          </w:tcPr>
          <w:p w14:paraId="4EBB04AC"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68.8%</w:t>
            </w:r>
          </w:p>
        </w:tc>
        <w:tc>
          <w:tcPr>
            <w:tcW w:w="1134" w:type="dxa"/>
            <w:noWrap/>
            <w:hideMark/>
          </w:tcPr>
          <w:p w14:paraId="77AF1944"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1.08</w:t>
            </w:r>
          </w:p>
        </w:tc>
        <w:tc>
          <w:tcPr>
            <w:tcW w:w="1134" w:type="dxa"/>
            <w:noWrap/>
            <w:hideMark/>
          </w:tcPr>
          <w:p w14:paraId="13693D4B"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0.43</w:t>
            </w:r>
          </w:p>
        </w:tc>
        <w:tc>
          <w:tcPr>
            <w:tcW w:w="1134" w:type="dxa"/>
            <w:noWrap/>
            <w:vAlign w:val="bottom"/>
            <w:hideMark/>
          </w:tcPr>
          <w:p w14:paraId="476115D3"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56.3%</w:t>
            </w:r>
          </w:p>
        </w:tc>
      </w:tr>
      <w:tr w:rsidR="00733CA7" w:rsidRPr="003D6C5D" w14:paraId="744C566E" w14:textId="77777777" w:rsidTr="004314F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78C8D1CF"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Dr Kalliwoda</w:t>
            </w:r>
          </w:p>
        </w:tc>
        <w:tc>
          <w:tcPr>
            <w:tcW w:w="1134" w:type="dxa"/>
            <w:noWrap/>
            <w:hideMark/>
          </w:tcPr>
          <w:p w14:paraId="4B25F9BF"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24</w:t>
            </w:r>
          </w:p>
        </w:tc>
        <w:tc>
          <w:tcPr>
            <w:tcW w:w="1134" w:type="dxa"/>
            <w:noWrap/>
            <w:hideMark/>
          </w:tcPr>
          <w:p w14:paraId="0AEADE7F"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45.8%</w:t>
            </w:r>
          </w:p>
        </w:tc>
        <w:tc>
          <w:tcPr>
            <w:tcW w:w="1134" w:type="dxa"/>
            <w:noWrap/>
            <w:hideMark/>
          </w:tcPr>
          <w:p w14:paraId="6F6653E6"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1.73</w:t>
            </w:r>
          </w:p>
        </w:tc>
        <w:tc>
          <w:tcPr>
            <w:tcW w:w="1134" w:type="dxa"/>
            <w:noWrap/>
            <w:hideMark/>
          </w:tcPr>
          <w:p w14:paraId="43AD8D60"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0.25</w:t>
            </w:r>
          </w:p>
        </w:tc>
        <w:tc>
          <w:tcPr>
            <w:tcW w:w="1134" w:type="dxa"/>
            <w:noWrap/>
            <w:vAlign w:val="bottom"/>
            <w:hideMark/>
          </w:tcPr>
          <w:p w14:paraId="74156839"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25.0%</w:t>
            </w:r>
          </w:p>
        </w:tc>
      </w:tr>
      <w:tr w:rsidR="00733CA7" w:rsidRPr="003D6C5D" w14:paraId="2BFFCE03" w14:textId="77777777" w:rsidTr="004314F5">
        <w:trPr>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2F9CA064"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Merrill Lynch</w:t>
            </w:r>
          </w:p>
        </w:tc>
        <w:tc>
          <w:tcPr>
            <w:tcW w:w="1134" w:type="dxa"/>
            <w:noWrap/>
            <w:hideMark/>
          </w:tcPr>
          <w:p w14:paraId="26C1DB7F"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6</w:t>
            </w:r>
          </w:p>
        </w:tc>
        <w:tc>
          <w:tcPr>
            <w:tcW w:w="1134" w:type="dxa"/>
            <w:noWrap/>
            <w:hideMark/>
          </w:tcPr>
          <w:p w14:paraId="760E4F54"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66.7%</w:t>
            </w:r>
          </w:p>
        </w:tc>
        <w:tc>
          <w:tcPr>
            <w:tcW w:w="1134" w:type="dxa"/>
            <w:noWrap/>
            <w:hideMark/>
          </w:tcPr>
          <w:p w14:paraId="1E065290"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0.76</w:t>
            </w:r>
          </w:p>
        </w:tc>
        <w:tc>
          <w:tcPr>
            <w:tcW w:w="1134" w:type="dxa"/>
            <w:noWrap/>
            <w:hideMark/>
          </w:tcPr>
          <w:p w14:paraId="739A1A54"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0.17</w:t>
            </w:r>
          </w:p>
        </w:tc>
        <w:tc>
          <w:tcPr>
            <w:tcW w:w="1134" w:type="dxa"/>
            <w:noWrap/>
            <w:vAlign w:val="bottom"/>
            <w:hideMark/>
          </w:tcPr>
          <w:p w14:paraId="79F0F54F"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33.3%</w:t>
            </w:r>
          </w:p>
        </w:tc>
      </w:tr>
      <w:tr w:rsidR="00733CA7" w:rsidRPr="003D6C5D" w14:paraId="3C4B4B2A" w14:textId="77777777" w:rsidTr="004314F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0F8F1BBD"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CDM Pekao</w:t>
            </w:r>
          </w:p>
        </w:tc>
        <w:tc>
          <w:tcPr>
            <w:tcW w:w="1134" w:type="dxa"/>
            <w:noWrap/>
            <w:hideMark/>
          </w:tcPr>
          <w:p w14:paraId="0027E28D"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48</w:t>
            </w:r>
          </w:p>
        </w:tc>
        <w:tc>
          <w:tcPr>
            <w:tcW w:w="1134" w:type="dxa"/>
            <w:noWrap/>
            <w:hideMark/>
          </w:tcPr>
          <w:p w14:paraId="152AFA3E"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64.6%</w:t>
            </w:r>
          </w:p>
        </w:tc>
        <w:tc>
          <w:tcPr>
            <w:tcW w:w="1134" w:type="dxa"/>
            <w:noWrap/>
            <w:hideMark/>
          </w:tcPr>
          <w:p w14:paraId="2CCEC6C9"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0.75</w:t>
            </w:r>
          </w:p>
        </w:tc>
        <w:tc>
          <w:tcPr>
            <w:tcW w:w="1134" w:type="dxa"/>
            <w:noWrap/>
            <w:hideMark/>
          </w:tcPr>
          <w:p w14:paraId="13ACDFF3"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0.13</w:t>
            </w:r>
          </w:p>
        </w:tc>
        <w:tc>
          <w:tcPr>
            <w:tcW w:w="1134" w:type="dxa"/>
            <w:noWrap/>
            <w:vAlign w:val="bottom"/>
            <w:hideMark/>
          </w:tcPr>
          <w:p w14:paraId="6A182B8A"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45.8%</w:t>
            </w:r>
          </w:p>
        </w:tc>
      </w:tr>
      <w:tr w:rsidR="00733CA7" w:rsidRPr="003D6C5D" w14:paraId="793478B0" w14:textId="77777777" w:rsidTr="004314F5">
        <w:trPr>
          <w:trHeight w:val="288"/>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7F7F7F" w:themeColor="text1" w:themeTint="80"/>
              <w:bottom w:val="single" w:sz="12" w:space="0" w:color="FF0000"/>
            </w:tcBorders>
            <w:noWrap/>
            <w:hideMark/>
          </w:tcPr>
          <w:p w14:paraId="2F8F51AA"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lastRenderedPageBreak/>
              <w:t>Renaissance</w:t>
            </w:r>
          </w:p>
        </w:tc>
        <w:tc>
          <w:tcPr>
            <w:tcW w:w="1134" w:type="dxa"/>
            <w:tcBorders>
              <w:top w:val="single" w:sz="4" w:space="0" w:color="7F7F7F" w:themeColor="text1" w:themeTint="80"/>
              <w:bottom w:val="single" w:sz="12" w:space="0" w:color="FF0000"/>
            </w:tcBorders>
            <w:noWrap/>
            <w:hideMark/>
          </w:tcPr>
          <w:p w14:paraId="283CC492"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10</w:t>
            </w:r>
          </w:p>
        </w:tc>
        <w:tc>
          <w:tcPr>
            <w:tcW w:w="1134" w:type="dxa"/>
            <w:tcBorders>
              <w:top w:val="single" w:sz="4" w:space="0" w:color="7F7F7F" w:themeColor="text1" w:themeTint="80"/>
              <w:bottom w:val="single" w:sz="12" w:space="0" w:color="FF0000"/>
            </w:tcBorders>
            <w:noWrap/>
            <w:hideMark/>
          </w:tcPr>
          <w:p w14:paraId="3E4DD866"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70.0%</w:t>
            </w:r>
          </w:p>
        </w:tc>
        <w:tc>
          <w:tcPr>
            <w:tcW w:w="1134" w:type="dxa"/>
            <w:tcBorders>
              <w:top w:val="single" w:sz="4" w:space="0" w:color="7F7F7F" w:themeColor="text1" w:themeTint="80"/>
              <w:bottom w:val="single" w:sz="12" w:space="0" w:color="FF0000"/>
            </w:tcBorders>
            <w:noWrap/>
            <w:hideMark/>
          </w:tcPr>
          <w:p w14:paraId="4B73A635"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0.51</w:t>
            </w:r>
          </w:p>
        </w:tc>
        <w:tc>
          <w:tcPr>
            <w:tcW w:w="1134" w:type="dxa"/>
            <w:tcBorders>
              <w:top w:val="single" w:sz="4" w:space="0" w:color="7F7F7F" w:themeColor="text1" w:themeTint="80"/>
              <w:bottom w:val="single" w:sz="12" w:space="0" w:color="FF0000"/>
            </w:tcBorders>
            <w:noWrap/>
            <w:hideMark/>
          </w:tcPr>
          <w:p w14:paraId="2EBC2156"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0.06</w:t>
            </w:r>
          </w:p>
        </w:tc>
        <w:tc>
          <w:tcPr>
            <w:tcW w:w="1134" w:type="dxa"/>
            <w:tcBorders>
              <w:top w:val="single" w:sz="4" w:space="0" w:color="7F7F7F" w:themeColor="text1" w:themeTint="80"/>
              <w:bottom w:val="single" w:sz="12" w:space="0" w:color="FF0000"/>
            </w:tcBorders>
            <w:noWrap/>
            <w:vAlign w:val="bottom"/>
            <w:hideMark/>
          </w:tcPr>
          <w:p w14:paraId="0257B12B"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60.0%</w:t>
            </w:r>
          </w:p>
        </w:tc>
      </w:tr>
      <w:tr w:rsidR="00733CA7" w:rsidRPr="003D6C5D" w14:paraId="7700083D" w14:textId="77777777" w:rsidTr="004314F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8" w:type="dxa"/>
            <w:tcBorders>
              <w:top w:val="single" w:sz="12" w:space="0" w:color="FF0000"/>
            </w:tcBorders>
            <w:noWrap/>
            <w:hideMark/>
          </w:tcPr>
          <w:p w14:paraId="6D06EF60"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DnB NORD BM</w:t>
            </w:r>
          </w:p>
        </w:tc>
        <w:tc>
          <w:tcPr>
            <w:tcW w:w="1134" w:type="dxa"/>
            <w:tcBorders>
              <w:top w:val="single" w:sz="12" w:space="0" w:color="FF0000"/>
            </w:tcBorders>
            <w:noWrap/>
            <w:hideMark/>
          </w:tcPr>
          <w:p w14:paraId="3E1A14F6"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2</w:t>
            </w:r>
          </w:p>
        </w:tc>
        <w:tc>
          <w:tcPr>
            <w:tcW w:w="1134" w:type="dxa"/>
            <w:tcBorders>
              <w:top w:val="single" w:sz="12" w:space="0" w:color="FF0000"/>
            </w:tcBorders>
            <w:noWrap/>
            <w:hideMark/>
          </w:tcPr>
          <w:p w14:paraId="09A2E82E"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50.0%</w:t>
            </w:r>
          </w:p>
        </w:tc>
        <w:tc>
          <w:tcPr>
            <w:tcW w:w="1134" w:type="dxa"/>
            <w:tcBorders>
              <w:top w:val="single" w:sz="12" w:space="0" w:color="FF0000"/>
            </w:tcBorders>
            <w:noWrap/>
            <w:hideMark/>
          </w:tcPr>
          <w:p w14:paraId="49B1D2C6"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0.82</w:t>
            </w:r>
          </w:p>
        </w:tc>
        <w:tc>
          <w:tcPr>
            <w:tcW w:w="1134" w:type="dxa"/>
            <w:tcBorders>
              <w:top w:val="single" w:sz="12" w:space="0" w:color="FF0000"/>
            </w:tcBorders>
            <w:noWrap/>
            <w:hideMark/>
          </w:tcPr>
          <w:p w14:paraId="45EFDA42"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-0.09</w:t>
            </w:r>
          </w:p>
        </w:tc>
        <w:tc>
          <w:tcPr>
            <w:tcW w:w="1134" w:type="dxa"/>
            <w:tcBorders>
              <w:top w:val="single" w:sz="12" w:space="0" w:color="FF0000"/>
            </w:tcBorders>
            <w:noWrap/>
            <w:vAlign w:val="bottom"/>
            <w:hideMark/>
          </w:tcPr>
          <w:p w14:paraId="1D94F823"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0.0%</w:t>
            </w:r>
          </w:p>
        </w:tc>
      </w:tr>
      <w:tr w:rsidR="00733CA7" w:rsidRPr="003D6C5D" w14:paraId="71FE926C" w14:textId="77777777" w:rsidTr="004314F5">
        <w:trPr>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57490ED6"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HSBC Securities</w:t>
            </w:r>
          </w:p>
        </w:tc>
        <w:tc>
          <w:tcPr>
            <w:tcW w:w="1134" w:type="dxa"/>
            <w:noWrap/>
            <w:hideMark/>
          </w:tcPr>
          <w:p w14:paraId="28CAF931"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34</w:t>
            </w:r>
          </w:p>
        </w:tc>
        <w:tc>
          <w:tcPr>
            <w:tcW w:w="1134" w:type="dxa"/>
            <w:noWrap/>
            <w:hideMark/>
          </w:tcPr>
          <w:p w14:paraId="0DC6914A"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50.0%</w:t>
            </w:r>
          </w:p>
        </w:tc>
        <w:tc>
          <w:tcPr>
            <w:tcW w:w="1134" w:type="dxa"/>
            <w:noWrap/>
            <w:hideMark/>
          </w:tcPr>
          <w:p w14:paraId="15C0781C"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0.62</w:t>
            </w:r>
          </w:p>
        </w:tc>
        <w:tc>
          <w:tcPr>
            <w:tcW w:w="1134" w:type="dxa"/>
            <w:noWrap/>
            <w:hideMark/>
          </w:tcPr>
          <w:p w14:paraId="13CC94CE"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-0.19</w:t>
            </w:r>
          </w:p>
        </w:tc>
        <w:tc>
          <w:tcPr>
            <w:tcW w:w="1134" w:type="dxa"/>
            <w:noWrap/>
            <w:vAlign w:val="bottom"/>
            <w:hideMark/>
          </w:tcPr>
          <w:p w14:paraId="2A755304"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44.1%</w:t>
            </w:r>
          </w:p>
        </w:tc>
      </w:tr>
      <w:tr w:rsidR="00733CA7" w:rsidRPr="003D6C5D" w14:paraId="6CE85089" w14:textId="77777777" w:rsidTr="004314F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4E442E7F"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Bank of America</w:t>
            </w:r>
          </w:p>
        </w:tc>
        <w:tc>
          <w:tcPr>
            <w:tcW w:w="1134" w:type="dxa"/>
            <w:noWrap/>
            <w:hideMark/>
          </w:tcPr>
          <w:p w14:paraId="28B8A251"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9</w:t>
            </w:r>
          </w:p>
        </w:tc>
        <w:tc>
          <w:tcPr>
            <w:tcW w:w="1134" w:type="dxa"/>
            <w:noWrap/>
            <w:hideMark/>
          </w:tcPr>
          <w:p w14:paraId="4E37D1A5"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55.6%</w:t>
            </w:r>
          </w:p>
        </w:tc>
        <w:tc>
          <w:tcPr>
            <w:tcW w:w="1134" w:type="dxa"/>
            <w:noWrap/>
            <w:hideMark/>
          </w:tcPr>
          <w:p w14:paraId="4E728713"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0.43</w:t>
            </w:r>
          </w:p>
        </w:tc>
        <w:tc>
          <w:tcPr>
            <w:tcW w:w="1134" w:type="dxa"/>
            <w:noWrap/>
            <w:hideMark/>
          </w:tcPr>
          <w:p w14:paraId="1AB4BF78"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-0.21</w:t>
            </w:r>
          </w:p>
        </w:tc>
        <w:tc>
          <w:tcPr>
            <w:tcW w:w="1134" w:type="dxa"/>
            <w:noWrap/>
            <w:vAlign w:val="bottom"/>
            <w:hideMark/>
          </w:tcPr>
          <w:p w14:paraId="232210B9"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44.4%</w:t>
            </w:r>
          </w:p>
        </w:tc>
      </w:tr>
      <w:tr w:rsidR="00733CA7" w:rsidRPr="003D6C5D" w14:paraId="4DD76C4A" w14:textId="77777777" w:rsidTr="004314F5">
        <w:trPr>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276694FA"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Concorde</w:t>
            </w:r>
          </w:p>
        </w:tc>
        <w:tc>
          <w:tcPr>
            <w:tcW w:w="1134" w:type="dxa"/>
            <w:noWrap/>
            <w:hideMark/>
          </w:tcPr>
          <w:p w14:paraId="256E0261"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4</w:t>
            </w:r>
          </w:p>
        </w:tc>
        <w:tc>
          <w:tcPr>
            <w:tcW w:w="1134" w:type="dxa"/>
            <w:noWrap/>
            <w:hideMark/>
          </w:tcPr>
          <w:p w14:paraId="085E08A0"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50.0%</w:t>
            </w:r>
          </w:p>
        </w:tc>
        <w:tc>
          <w:tcPr>
            <w:tcW w:w="1134" w:type="dxa"/>
            <w:noWrap/>
            <w:hideMark/>
          </w:tcPr>
          <w:p w14:paraId="1A7D9D3F"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0.10</w:t>
            </w:r>
          </w:p>
        </w:tc>
        <w:tc>
          <w:tcPr>
            <w:tcW w:w="1134" w:type="dxa"/>
            <w:noWrap/>
            <w:hideMark/>
          </w:tcPr>
          <w:p w14:paraId="6006396D"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-0.45</w:t>
            </w:r>
          </w:p>
        </w:tc>
        <w:tc>
          <w:tcPr>
            <w:tcW w:w="1134" w:type="dxa"/>
            <w:noWrap/>
            <w:vAlign w:val="bottom"/>
            <w:hideMark/>
          </w:tcPr>
          <w:p w14:paraId="69D5E5A2"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50.0%</w:t>
            </w:r>
          </w:p>
        </w:tc>
      </w:tr>
      <w:tr w:rsidR="00733CA7" w:rsidRPr="003D6C5D" w14:paraId="770C4BA0" w14:textId="77777777" w:rsidTr="004314F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5C62370F"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Raiffeisen DM</w:t>
            </w:r>
          </w:p>
        </w:tc>
        <w:tc>
          <w:tcPr>
            <w:tcW w:w="1134" w:type="dxa"/>
            <w:noWrap/>
            <w:hideMark/>
          </w:tcPr>
          <w:p w14:paraId="3EE73508"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10</w:t>
            </w:r>
          </w:p>
        </w:tc>
        <w:tc>
          <w:tcPr>
            <w:tcW w:w="1134" w:type="dxa"/>
            <w:noWrap/>
            <w:hideMark/>
          </w:tcPr>
          <w:p w14:paraId="46EA540A"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30.0%</w:t>
            </w:r>
          </w:p>
        </w:tc>
        <w:tc>
          <w:tcPr>
            <w:tcW w:w="1134" w:type="dxa"/>
            <w:noWrap/>
            <w:hideMark/>
          </w:tcPr>
          <w:p w14:paraId="26A6DF32"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0.55</w:t>
            </w:r>
          </w:p>
        </w:tc>
        <w:tc>
          <w:tcPr>
            <w:tcW w:w="1134" w:type="dxa"/>
            <w:noWrap/>
            <w:hideMark/>
          </w:tcPr>
          <w:p w14:paraId="6ACD59A7"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-0.54</w:t>
            </w:r>
          </w:p>
        </w:tc>
        <w:tc>
          <w:tcPr>
            <w:tcW w:w="1134" w:type="dxa"/>
            <w:noWrap/>
            <w:vAlign w:val="bottom"/>
            <w:hideMark/>
          </w:tcPr>
          <w:p w14:paraId="62F5495C"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10.0%</w:t>
            </w:r>
          </w:p>
        </w:tc>
      </w:tr>
      <w:tr w:rsidR="00733CA7" w:rsidRPr="003D6C5D" w14:paraId="372821D3" w14:textId="77777777" w:rsidTr="004314F5">
        <w:trPr>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2DBE26F9"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 xml:space="preserve">NWAI DM </w:t>
            </w:r>
          </w:p>
        </w:tc>
        <w:tc>
          <w:tcPr>
            <w:tcW w:w="1134" w:type="dxa"/>
            <w:noWrap/>
            <w:hideMark/>
          </w:tcPr>
          <w:p w14:paraId="72E9DD05"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3</w:t>
            </w:r>
          </w:p>
        </w:tc>
        <w:tc>
          <w:tcPr>
            <w:tcW w:w="1134" w:type="dxa"/>
            <w:noWrap/>
            <w:hideMark/>
          </w:tcPr>
          <w:p w14:paraId="10D0FC5C"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33.3%</w:t>
            </w:r>
          </w:p>
        </w:tc>
        <w:tc>
          <w:tcPr>
            <w:tcW w:w="1134" w:type="dxa"/>
            <w:noWrap/>
            <w:hideMark/>
          </w:tcPr>
          <w:p w14:paraId="3C6E0C7F"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0.36</w:t>
            </w:r>
          </w:p>
        </w:tc>
        <w:tc>
          <w:tcPr>
            <w:tcW w:w="1134" w:type="dxa"/>
            <w:noWrap/>
            <w:hideMark/>
          </w:tcPr>
          <w:p w14:paraId="64E22B04"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-0.55</w:t>
            </w:r>
          </w:p>
        </w:tc>
        <w:tc>
          <w:tcPr>
            <w:tcW w:w="1134" w:type="dxa"/>
            <w:noWrap/>
            <w:vAlign w:val="bottom"/>
            <w:hideMark/>
          </w:tcPr>
          <w:p w14:paraId="53993236"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0.0%</w:t>
            </w:r>
          </w:p>
        </w:tc>
      </w:tr>
      <w:tr w:rsidR="00733CA7" w:rsidRPr="003D6C5D" w14:paraId="2467F378" w14:textId="77777777" w:rsidTr="004314F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19A67E30"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Morgan Stanley</w:t>
            </w:r>
          </w:p>
        </w:tc>
        <w:tc>
          <w:tcPr>
            <w:tcW w:w="1134" w:type="dxa"/>
            <w:noWrap/>
            <w:hideMark/>
          </w:tcPr>
          <w:p w14:paraId="2343A572"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10</w:t>
            </w:r>
          </w:p>
        </w:tc>
        <w:tc>
          <w:tcPr>
            <w:tcW w:w="1134" w:type="dxa"/>
            <w:noWrap/>
            <w:hideMark/>
          </w:tcPr>
          <w:p w14:paraId="752ECE1E"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30.0%</w:t>
            </w:r>
          </w:p>
        </w:tc>
        <w:tc>
          <w:tcPr>
            <w:tcW w:w="1134" w:type="dxa"/>
            <w:noWrap/>
            <w:hideMark/>
          </w:tcPr>
          <w:p w14:paraId="1FA64E96"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0.37</w:t>
            </w:r>
          </w:p>
        </w:tc>
        <w:tc>
          <w:tcPr>
            <w:tcW w:w="1134" w:type="dxa"/>
            <w:noWrap/>
            <w:hideMark/>
          </w:tcPr>
          <w:p w14:paraId="4A21835E"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-0.59</w:t>
            </w:r>
          </w:p>
        </w:tc>
        <w:tc>
          <w:tcPr>
            <w:tcW w:w="1134" w:type="dxa"/>
            <w:noWrap/>
            <w:vAlign w:val="bottom"/>
            <w:hideMark/>
          </w:tcPr>
          <w:p w14:paraId="02B993CE"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10.0%</w:t>
            </w:r>
          </w:p>
        </w:tc>
      </w:tr>
      <w:tr w:rsidR="00733CA7" w:rsidRPr="003D6C5D" w14:paraId="5842DD3E" w14:textId="77777777" w:rsidTr="004314F5">
        <w:trPr>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42F40DD3"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Nomura</w:t>
            </w:r>
          </w:p>
        </w:tc>
        <w:tc>
          <w:tcPr>
            <w:tcW w:w="1134" w:type="dxa"/>
            <w:noWrap/>
            <w:hideMark/>
          </w:tcPr>
          <w:p w14:paraId="27C33038"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7</w:t>
            </w:r>
          </w:p>
        </w:tc>
        <w:tc>
          <w:tcPr>
            <w:tcW w:w="1134" w:type="dxa"/>
            <w:noWrap/>
            <w:hideMark/>
          </w:tcPr>
          <w:p w14:paraId="061DA2A6"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28.6%</w:t>
            </w:r>
          </w:p>
        </w:tc>
        <w:tc>
          <w:tcPr>
            <w:tcW w:w="1134" w:type="dxa"/>
            <w:noWrap/>
            <w:hideMark/>
          </w:tcPr>
          <w:p w14:paraId="39F566AA"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0.32</w:t>
            </w:r>
          </w:p>
        </w:tc>
        <w:tc>
          <w:tcPr>
            <w:tcW w:w="1134" w:type="dxa"/>
            <w:noWrap/>
            <w:hideMark/>
          </w:tcPr>
          <w:p w14:paraId="16704F9E"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-0.62</w:t>
            </w:r>
          </w:p>
        </w:tc>
        <w:tc>
          <w:tcPr>
            <w:tcW w:w="1134" w:type="dxa"/>
            <w:noWrap/>
            <w:vAlign w:val="bottom"/>
            <w:hideMark/>
          </w:tcPr>
          <w:p w14:paraId="6DAB1B4A"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28.6%</w:t>
            </w:r>
          </w:p>
        </w:tc>
      </w:tr>
      <w:tr w:rsidR="00733CA7" w:rsidRPr="003D6C5D" w14:paraId="2F4BC250" w14:textId="77777777" w:rsidTr="004314F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182E7B01"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Capital Partners DM</w:t>
            </w:r>
          </w:p>
        </w:tc>
        <w:tc>
          <w:tcPr>
            <w:tcW w:w="1134" w:type="dxa"/>
            <w:noWrap/>
            <w:hideMark/>
          </w:tcPr>
          <w:p w14:paraId="4A3182EB"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1</w:t>
            </w:r>
          </w:p>
        </w:tc>
        <w:tc>
          <w:tcPr>
            <w:tcW w:w="1134" w:type="dxa"/>
            <w:noWrap/>
            <w:hideMark/>
          </w:tcPr>
          <w:p w14:paraId="68785BFE"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100.0%</w:t>
            </w:r>
          </w:p>
        </w:tc>
        <w:tc>
          <w:tcPr>
            <w:tcW w:w="1134" w:type="dxa"/>
            <w:noWrap/>
            <w:hideMark/>
          </w:tcPr>
          <w:p w14:paraId="6C6E0B51" w14:textId="639B22ED" w:rsidR="00733CA7" w:rsidRPr="003D6C5D" w:rsidRDefault="00ED79BB"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N</w:t>
            </w:r>
            <w:r w:rsidR="00733CA7" w:rsidRPr="003D6C5D">
              <w:rPr>
                <w:rFonts w:ascii="Times New Roman" w:hAnsi="Times New Roman" w:cs="Times New Roman"/>
                <w:sz w:val="24"/>
                <w:szCs w:val="24"/>
              </w:rPr>
              <w:t>d</w:t>
            </w:r>
          </w:p>
        </w:tc>
        <w:tc>
          <w:tcPr>
            <w:tcW w:w="1134" w:type="dxa"/>
            <w:noWrap/>
            <w:hideMark/>
          </w:tcPr>
          <w:p w14:paraId="54B51FC8"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nd</w:t>
            </w:r>
          </w:p>
        </w:tc>
        <w:tc>
          <w:tcPr>
            <w:tcW w:w="1134" w:type="dxa"/>
            <w:noWrap/>
            <w:vAlign w:val="bottom"/>
            <w:hideMark/>
          </w:tcPr>
          <w:p w14:paraId="43911126"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100.0%</w:t>
            </w:r>
          </w:p>
        </w:tc>
      </w:tr>
      <w:tr w:rsidR="00733CA7" w:rsidRPr="003D6C5D" w14:paraId="30FB9865" w14:textId="77777777" w:rsidTr="004314F5">
        <w:trPr>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086A32EF"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Copernicus DM</w:t>
            </w:r>
          </w:p>
        </w:tc>
        <w:tc>
          <w:tcPr>
            <w:tcW w:w="1134" w:type="dxa"/>
            <w:noWrap/>
            <w:hideMark/>
          </w:tcPr>
          <w:p w14:paraId="6D30B351"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4</w:t>
            </w:r>
          </w:p>
        </w:tc>
        <w:tc>
          <w:tcPr>
            <w:tcW w:w="1134" w:type="dxa"/>
            <w:noWrap/>
            <w:hideMark/>
          </w:tcPr>
          <w:p w14:paraId="005C28FC"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100.0%</w:t>
            </w:r>
          </w:p>
        </w:tc>
        <w:tc>
          <w:tcPr>
            <w:tcW w:w="1134" w:type="dxa"/>
            <w:noWrap/>
            <w:hideMark/>
          </w:tcPr>
          <w:p w14:paraId="6A9CF714" w14:textId="476C41D9" w:rsidR="00733CA7" w:rsidRPr="003D6C5D" w:rsidRDefault="00ED79BB"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N</w:t>
            </w:r>
            <w:r w:rsidR="00733CA7" w:rsidRPr="003D6C5D">
              <w:rPr>
                <w:rFonts w:ascii="Times New Roman" w:hAnsi="Times New Roman" w:cs="Times New Roman"/>
                <w:sz w:val="24"/>
                <w:szCs w:val="24"/>
              </w:rPr>
              <w:t>d</w:t>
            </w:r>
          </w:p>
        </w:tc>
        <w:tc>
          <w:tcPr>
            <w:tcW w:w="1134" w:type="dxa"/>
            <w:noWrap/>
            <w:hideMark/>
          </w:tcPr>
          <w:p w14:paraId="22BFA890"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nd</w:t>
            </w:r>
          </w:p>
        </w:tc>
        <w:tc>
          <w:tcPr>
            <w:tcW w:w="1134" w:type="dxa"/>
            <w:noWrap/>
            <w:vAlign w:val="bottom"/>
            <w:hideMark/>
          </w:tcPr>
          <w:p w14:paraId="2DB26C90"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100.0%</w:t>
            </w:r>
          </w:p>
        </w:tc>
      </w:tr>
      <w:tr w:rsidR="00733CA7" w:rsidRPr="003D6C5D" w14:paraId="39A0E89D" w14:textId="77777777" w:rsidTr="004314F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3F122A7E"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Cyrrus</w:t>
            </w:r>
          </w:p>
        </w:tc>
        <w:tc>
          <w:tcPr>
            <w:tcW w:w="1134" w:type="dxa"/>
            <w:noWrap/>
            <w:hideMark/>
          </w:tcPr>
          <w:p w14:paraId="36F4E869"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1</w:t>
            </w:r>
          </w:p>
        </w:tc>
        <w:tc>
          <w:tcPr>
            <w:tcW w:w="1134" w:type="dxa"/>
            <w:noWrap/>
            <w:hideMark/>
          </w:tcPr>
          <w:p w14:paraId="6C84C64E"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0.0%</w:t>
            </w:r>
          </w:p>
        </w:tc>
        <w:tc>
          <w:tcPr>
            <w:tcW w:w="1134" w:type="dxa"/>
            <w:noWrap/>
            <w:hideMark/>
          </w:tcPr>
          <w:p w14:paraId="3CB88716" w14:textId="340DB89E" w:rsidR="00733CA7" w:rsidRPr="003D6C5D" w:rsidRDefault="00ED79BB"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N</w:t>
            </w:r>
            <w:r w:rsidR="00733CA7" w:rsidRPr="003D6C5D">
              <w:rPr>
                <w:rFonts w:ascii="Times New Roman" w:hAnsi="Times New Roman" w:cs="Times New Roman"/>
                <w:sz w:val="24"/>
                <w:szCs w:val="24"/>
              </w:rPr>
              <w:t>d</w:t>
            </w:r>
          </w:p>
        </w:tc>
        <w:tc>
          <w:tcPr>
            <w:tcW w:w="1134" w:type="dxa"/>
            <w:noWrap/>
            <w:hideMark/>
          </w:tcPr>
          <w:p w14:paraId="0E232E70"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nd</w:t>
            </w:r>
          </w:p>
        </w:tc>
        <w:tc>
          <w:tcPr>
            <w:tcW w:w="1134" w:type="dxa"/>
            <w:noWrap/>
            <w:vAlign w:val="bottom"/>
            <w:hideMark/>
          </w:tcPr>
          <w:p w14:paraId="76B93130"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100.0%</w:t>
            </w:r>
          </w:p>
        </w:tc>
      </w:tr>
      <w:tr w:rsidR="00733CA7" w:rsidRPr="003D6C5D" w14:paraId="11608FB8" w14:textId="77777777" w:rsidTr="004314F5">
        <w:trPr>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6D089158"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Exane</w:t>
            </w:r>
          </w:p>
        </w:tc>
        <w:tc>
          <w:tcPr>
            <w:tcW w:w="1134" w:type="dxa"/>
            <w:noWrap/>
            <w:hideMark/>
          </w:tcPr>
          <w:p w14:paraId="7CBCD3A7"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5</w:t>
            </w:r>
          </w:p>
        </w:tc>
        <w:tc>
          <w:tcPr>
            <w:tcW w:w="1134" w:type="dxa"/>
            <w:noWrap/>
            <w:hideMark/>
          </w:tcPr>
          <w:p w14:paraId="7310A314"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100.0%</w:t>
            </w:r>
          </w:p>
        </w:tc>
        <w:tc>
          <w:tcPr>
            <w:tcW w:w="1134" w:type="dxa"/>
            <w:noWrap/>
            <w:hideMark/>
          </w:tcPr>
          <w:p w14:paraId="604D2861" w14:textId="28143A96" w:rsidR="00733CA7" w:rsidRPr="003D6C5D" w:rsidRDefault="00ED79BB"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N</w:t>
            </w:r>
            <w:r w:rsidR="00733CA7" w:rsidRPr="003D6C5D">
              <w:rPr>
                <w:rFonts w:ascii="Times New Roman" w:hAnsi="Times New Roman" w:cs="Times New Roman"/>
                <w:sz w:val="24"/>
                <w:szCs w:val="24"/>
              </w:rPr>
              <w:t>d</w:t>
            </w:r>
          </w:p>
        </w:tc>
        <w:tc>
          <w:tcPr>
            <w:tcW w:w="1134" w:type="dxa"/>
            <w:noWrap/>
            <w:hideMark/>
          </w:tcPr>
          <w:p w14:paraId="0B1303A8"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nd</w:t>
            </w:r>
          </w:p>
        </w:tc>
        <w:tc>
          <w:tcPr>
            <w:tcW w:w="1134" w:type="dxa"/>
            <w:noWrap/>
            <w:vAlign w:val="bottom"/>
            <w:hideMark/>
          </w:tcPr>
          <w:p w14:paraId="73800584"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80.0%</w:t>
            </w:r>
          </w:p>
        </w:tc>
      </w:tr>
      <w:tr w:rsidR="00733CA7" w:rsidRPr="003D6C5D" w14:paraId="1B7DB988" w14:textId="77777777" w:rsidTr="004314F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40763593"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FIO</w:t>
            </w:r>
          </w:p>
        </w:tc>
        <w:tc>
          <w:tcPr>
            <w:tcW w:w="1134" w:type="dxa"/>
            <w:noWrap/>
            <w:hideMark/>
          </w:tcPr>
          <w:p w14:paraId="11F216EE"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1</w:t>
            </w:r>
          </w:p>
        </w:tc>
        <w:tc>
          <w:tcPr>
            <w:tcW w:w="1134" w:type="dxa"/>
            <w:noWrap/>
            <w:hideMark/>
          </w:tcPr>
          <w:p w14:paraId="0F6669BA"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100.0%</w:t>
            </w:r>
          </w:p>
        </w:tc>
        <w:tc>
          <w:tcPr>
            <w:tcW w:w="1134" w:type="dxa"/>
            <w:noWrap/>
            <w:hideMark/>
          </w:tcPr>
          <w:p w14:paraId="66F2C010" w14:textId="623FFADE" w:rsidR="00733CA7" w:rsidRPr="003D6C5D" w:rsidRDefault="00ED79BB"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N</w:t>
            </w:r>
            <w:r w:rsidR="00733CA7" w:rsidRPr="003D6C5D">
              <w:rPr>
                <w:rFonts w:ascii="Times New Roman" w:hAnsi="Times New Roman" w:cs="Times New Roman"/>
                <w:sz w:val="24"/>
                <w:szCs w:val="24"/>
              </w:rPr>
              <w:t>d</w:t>
            </w:r>
          </w:p>
        </w:tc>
        <w:tc>
          <w:tcPr>
            <w:tcW w:w="1134" w:type="dxa"/>
            <w:noWrap/>
            <w:hideMark/>
          </w:tcPr>
          <w:p w14:paraId="09BF0832"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nd</w:t>
            </w:r>
          </w:p>
        </w:tc>
        <w:tc>
          <w:tcPr>
            <w:tcW w:w="1134" w:type="dxa"/>
            <w:noWrap/>
            <w:vAlign w:val="bottom"/>
            <w:hideMark/>
          </w:tcPr>
          <w:p w14:paraId="00AA2C9A"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100.0%</w:t>
            </w:r>
          </w:p>
        </w:tc>
      </w:tr>
      <w:tr w:rsidR="00733CA7" w:rsidRPr="003D6C5D" w14:paraId="251BE93E" w14:textId="77777777" w:rsidTr="004314F5">
        <w:trPr>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414368FB"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 xml:space="preserve">Mercurius DM </w:t>
            </w:r>
          </w:p>
        </w:tc>
        <w:tc>
          <w:tcPr>
            <w:tcW w:w="1134" w:type="dxa"/>
            <w:noWrap/>
            <w:hideMark/>
          </w:tcPr>
          <w:p w14:paraId="521F2A9B"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1</w:t>
            </w:r>
          </w:p>
        </w:tc>
        <w:tc>
          <w:tcPr>
            <w:tcW w:w="1134" w:type="dxa"/>
            <w:noWrap/>
            <w:hideMark/>
          </w:tcPr>
          <w:p w14:paraId="10B24E22"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0.0%</w:t>
            </w:r>
          </w:p>
        </w:tc>
        <w:tc>
          <w:tcPr>
            <w:tcW w:w="1134" w:type="dxa"/>
            <w:noWrap/>
            <w:hideMark/>
          </w:tcPr>
          <w:p w14:paraId="236C2F51" w14:textId="3C88B5E6" w:rsidR="00733CA7" w:rsidRPr="003D6C5D" w:rsidRDefault="00ED79BB"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N</w:t>
            </w:r>
            <w:r w:rsidR="00733CA7" w:rsidRPr="003D6C5D">
              <w:rPr>
                <w:rFonts w:ascii="Times New Roman" w:hAnsi="Times New Roman" w:cs="Times New Roman"/>
                <w:sz w:val="24"/>
                <w:szCs w:val="24"/>
              </w:rPr>
              <w:t>d</w:t>
            </w:r>
          </w:p>
        </w:tc>
        <w:tc>
          <w:tcPr>
            <w:tcW w:w="1134" w:type="dxa"/>
            <w:noWrap/>
            <w:hideMark/>
          </w:tcPr>
          <w:p w14:paraId="085FFC6A"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nd</w:t>
            </w:r>
          </w:p>
        </w:tc>
        <w:tc>
          <w:tcPr>
            <w:tcW w:w="1134" w:type="dxa"/>
            <w:noWrap/>
            <w:vAlign w:val="bottom"/>
            <w:hideMark/>
          </w:tcPr>
          <w:p w14:paraId="656314A5"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0.0%</w:t>
            </w:r>
          </w:p>
        </w:tc>
      </w:tr>
      <w:tr w:rsidR="00733CA7" w:rsidRPr="003D6C5D" w14:paraId="3A13FBE6" w14:textId="77777777" w:rsidTr="004314F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3ACFA732"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Ventus AM</w:t>
            </w:r>
          </w:p>
        </w:tc>
        <w:tc>
          <w:tcPr>
            <w:tcW w:w="1134" w:type="dxa"/>
            <w:noWrap/>
            <w:hideMark/>
          </w:tcPr>
          <w:p w14:paraId="4B4E016E"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1</w:t>
            </w:r>
          </w:p>
        </w:tc>
        <w:tc>
          <w:tcPr>
            <w:tcW w:w="1134" w:type="dxa"/>
            <w:noWrap/>
            <w:hideMark/>
          </w:tcPr>
          <w:p w14:paraId="0A99B1C1"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0.0%</w:t>
            </w:r>
          </w:p>
        </w:tc>
        <w:tc>
          <w:tcPr>
            <w:tcW w:w="1134" w:type="dxa"/>
            <w:noWrap/>
            <w:hideMark/>
          </w:tcPr>
          <w:p w14:paraId="4544F5F4" w14:textId="7E10837A" w:rsidR="00733CA7" w:rsidRPr="003D6C5D" w:rsidRDefault="00ED79BB"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N</w:t>
            </w:r>
            <w:r w:rsidR="00733CA7" w:rsidRPr="003D6C5D">
              <w:rPr>
                <w:rFonts w:ascii="Times New Roman" w:hAnsi="Times New Roman" w:cs="Times New Roman"/>
                <w:sz w:val="24"/>
                <w:szCs w:val="24"/>
              </w:rPr>
              <w:t>d</w:t>
            </w:r>
          </w:p>
        </w:tc>
        <w:tc>
          <w:tcPr>
            <w:tcW w:w="1134" w:type="dxa"/>
            <w:noWrap/>
            <w:hideMark/>
          </w:tcPr>
          <w:p w14:paraId="019C7E5E"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nd</w:t>
            </w:r>
          </w:p>
        </w:tc>
        <w:tc>
          <w:tcPr>
            <w:tcW w:w="1134" w:type="dxa"/>
            <w:noWrap/>
            <w:vAlign w:val="bottom"/>
            <w:hideMark/>
          </w:tcPr>
          <w:p w14:paraId="6BA87EC3" w14:textId="77777777" w:rsidR="00733CA7" w:rsidRPr="003D6C5D" w:rsidRDefault="00733CA7" w:rsidP="0071390A">
            <w:pPr>
              <w:spacing w:before="0"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0.0%</w:t>
            </w:r>
          </w:p>
        </w:tc>
      </w:tr>
      <w:tr w:rsidR="00733CA7" w:rsidRPr="003D6C5D" w14:paraId="46C95759" w14:textId="77777777" w:rsidTr="004314F5">
        <w:trPr>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2BB36BB7" w14:textId="77777777" w:rsidR="00733CA7" w:rsidRPr="003D6C5D" w:rsidRDefault="00733CA7" w:rsidP="00272E65">
            <w:pPr>
              <w:spacing w:before="0" w:after="0" w:line="360" w:lineRule="auto"/>
              <w:rPr>
                <w:rFonts w:ascii="Times New Roman" w:hAnsi="Times New Roman" w:cs="Times New Roman"/>
                <w:sz w:val="24"/>
                <w:szCs w:val="24"/>
              </w:rPr>
            </w:pPr>
            <w:r w:rsidRPr="003D6C5D">
              <w:rPr>
                <w:rFonts w:ascii="Times New Roman" w:hAnsi="Times New Roman" w:cs="Times New Roman"/>
                <w:sz w:val="24"/>
                <w:szCs w:val="24"/>
              </w:rPr>
              <w:t>WDM S.A.</w:t>
            </w:r>
          </w:p>
        </w:tc>
        <w:tc>
          <w:tcPr>
            <w:tcW w:w="1134" w:type="dxa"/>
            <w:noWrap/>
            <w:hideMark/>
          </w:tcPr>
          <w:p w14:paraId="1D38180F"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2</w:t>
            </w:r>
          </w:p>
        </w:tc>
        <w:tc>
          <w:tcPr>
            <w:tcW w:w="1134" w:type="dxa"/>
            <w:noWrap/>
            <w:hideMark/>
          </w:tcPr>
          <w:p w14:paraId="0BFFC35B"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0.0%</w:t>
            </w:r>
          </w:p>
        </w:tc>
        <w:tc>
          <w:tcPr>
            <w:tcW w:w="1134" w:type="dxa"/>
            <w:noWrap/>
            <w:hideMark/>
          </w:tcPr>
          <w:p w14:paraId="6DF62D9B" w14:textId="01D09588" w:rsidR="00733CA7" w:rsidRPr="003D6C5D" w:rsidRDefault="00ED79BB"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N</w:t>
            </w:r>
            <w:r w:rsidR="00733CA7" w:rsidRPr="003D6C5D">
              <w:rPr>
                <w:rFonts w:ascii="Times New Roman" w:hAnsi="Times New Roman" w:cs="Times New Roman"/>
                <w:sz w:val="24"/>
                <w:szCs w:val="24"/>
              </w:rPr>
              <w:t>d</w:t>
            </w:r>
          </w:p>
        </w:tc>
        <w:tc>
          <w:tcPr>
            <w:tcW w:w="1134" w:type="dxa"/>
            <w:noWrap/>
            <w:hideMark/>
          </w:tcPr>
          <w:p w14:paraId="18409251"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nd</w:t>
            </w:r>
          </w:p>
        </w:tc>
        <w:tc>
          <w:tcPr>
            <w:tcW w:w="1134" w:type="dxa"/>
            <w:noWrap/>
            <w:vAlign w:val="bottom"/>
            <w:hideMark/>
          </w:tcPr>
          <w:p w14:paraId="0039DC69" w14:textId="77777777" w:rsidR="00733CA7" w:rsidRPr="003D6C5D" w:rsidRDefault="00733CA7" w:rsidP="0071390A">
            <w:pPr>
              <w:spacing w:before="0"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C5D">
              <w:rPr>
                <w:rFonts w:ascii="Times New Roman" w:hAnsi="Times New Roman" w:cs="Times New Roman"/>
                <w:sz w:val="24"/>
                <w:szCs w:val="24"/>
              </w:rPr>
              <w:t>0.0%</w:t>
            </w:r>
          </w:p>
        </w:tc>
      </w:tr>
    </w:tbl>
    <w:p w14:paraId="3528DBCF" w14:textId="77777777" w:rsidR="00733CA7" w:rsidRPr="003D6C5D" w:rsidRDefault="00733CA7" w:rsidP="0071390A">
      <w:pPr>
        <w:spacing w:before="0" w:after="0" w:line="360" w:lineRule="auto"/>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nd – no data</w:t>
      </w:r>
    </w:p>
    <w:p w14:paraId="7B855A54" w14:textId="77777777" w:rsidR="00733CA7" w:rsidRPr="003D6C5D" w:rsidRDefault="00733CA7" w:rsidP="0071390A">
      <w:pPr>
        <w:spacing w:before="0" w:after="0" w:line="360" w:lineRule="auto"/>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 xml:space="preserve">Source: </w:t>
      </w:r>
      <w:r w:rsidR="007F0DE4">
        <w:rPr>
          <w:rFonts w:ascii="Times New Roman" w:hAnsi="Times New Roman" w:cs="Times New Roman"/>
          <w:sz w:val="24"/>
          <w:szCs w:val="24"/>
          <w:lang w:val="en-US" w:eastAsia="de-DE"/>
        </w:rPr>
        <w:t xml:space="preserve">authors’ </w:t>
      </w:r>
      <w:r w:rsidRPr="003D6C5D">
        <w:rPr>
          <w:rFonts w:ascii="Times New Roman" w:hAnsi="Times New Roman" w:cs="Times New Roman"/>
          <w:sz w:val="24"/>
          <w:szCs w:val="24"/>
          <w:lang w:val="en-US" w:eastAsia="de-DE"/>
        </w:rPr>
        <w:t>own calculations</w:t>
      </w:r>
    </w:p>
    <w:p w14:paraId="45E74951" w14:textId="77777777" w:rsidR="00733CA7" w:rsidRPr="003D6C5D" w:rsidRDefault="00733CA7" w:rsidP="0071390A">
      <w:pPr>
        <w:spacing w:before="0" w:after="0" w:line="360" w:lineRule="auto"/>
        <w:ind w:firstLine="426"/>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 xml:space="preserve">First of all, due to low number of recommendations all the statistics should be treated with caution, because even single positive or negative trade can change the performance dramatically among small number of investment suggestions. Nevertheless, there are 2 extremely interesting cases to analyze. The first one is Barclays that published only 13 recommendation between 2012 and 2014. Barclays was right in 76.9% cases and targets were hit for amazing 69.2% trades. It is really a great pity that Barclays recommends so rarely, because it could be a strong player on the WSE. The second interesting case, in statistical aspect, is Dr Kalliwoda, that perfectly suits to trending strategy model. 45.8% accuracy with 1.73 P/L ratio encourage to follow Dr Kalliwoda’s suggestions. </w:t>
      </w:r>
    </w:p>
    <w:p w14:paraId="54F48B8E" w14:textId="77777777" w:rsidR="00733CA7" w:rsidRPr="003D6C5D" w:rsidRDefault="00733CA7" w:rsidP="0071390A">
      <w:pPr>
        <w:spacing w:before="0" w:after="0" w:line="360" w:lineRule="auto"/>
        <w:ind w:firstLine="426"/>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 xml:space="preserve">Every trading strategy needs repetitions and regular trading to demonstrate true statistical value. Otherwise proper assessment cannot be carried out. The performance of non-regular recommenders is actually the result of good or bad luck. </w:t>
      </w:r>
    </w:p>
    <w:p w14:paraId="449AAC57" w14:textId="77777777" w:rsidR="00733CA7" w:rsidRPr="003D6C5D" w:rsidRDefault="00733CA7" w:rsidP="0071390A">
      <w:pPr>
        <w:spacing w:before="0" w:after="0" w:line="360" w:lineRule="auto"/>
        <w:ind w:firstLine="426"/>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lastRenderedPageBreak/>
        <w:t xml:space="preserve">In general, the quality of recommendations is really poor. It is clearly represented on the equity curve which represents the portfolio behavior based on trading every published recommendation. </w:t>
      </w:r>
    </w:p>
    <w:p w14:paraId="7CD252B4" w14:textId="77777777" w:rsidR="00733CA7" w:rsidRPr="003D6C5D" w:rsidRDefault="00733CA7" w:rsidP="0071390A">
      <w:pPr>
        <w:spacing w:before="0" w:after="0" w:line="360" w:lineRule="auto"/>
        <w:jc w:val="both"/>
        <w:rPr>
          <w:rFonts w:ascii="Times New Roman" w:hAnsi="Times New Roman" w:cs="Times New Roman"/>
          <w:i/>
          <w:iCs/>
          <w:sz w:val="24"/>
          <w:szCs w:val="24"/>
          <w:lang w:val="en-US" w:eastAsia="de-DE"/>
        </w:rPr>
      </w:pPr>
      <w:r w:rsidRPr="003D6C5D">
        <w:rPr>
          <w:rFonts w:ascii="Times New Roman" w:hAnsi="Times New Roman" w:cs="Times New Roman"/>
          <w:i/>
          <w:iCs/>
          <w:sz w:val="24"/>
          <w:szCs w:val="24"/>
          <w:lang w:val="en-US" w:eastAsia="de-DE"/>
        </w:rPr>
        <w:t xml:space="preserve">Figure </w:t>
      </w:r>
      <w:r w:rsidRPr="003D6C5D">
        <w:rPr>
          <w:rFonts w:ascii="Times New Roman" w:hAnsi="Times New Roman" w:cs="Times New Roman"/>
          <w:i/>
          <w:iCs/>
          <w:sz w:val="24"/>
          <w:szCs w:val="24"/>
          <w:lang w:eastAsia="de-DE"/>
        </w:rPr>
        <w:fldChar w:fldCharType="begin"/>
      </w:r>
      <w:r w:rsidRPr="003D6C5D">
        <w:rPr>
          <w:rFonts w:ascii="Times New Roman" w:hAnsi="Times New Roman" w:cs="Times New Roman"/>
          <w:i/>
          <w:iCs/>
          <w:sz w:val="24"/>
          <w:szCs w:val="24"/>
          <w:lang w:val="en-US" w:eastAsia="de-DE"/>
        </w:rPr>
        <w:instrText xml:space="preserve"> SEQ Figure \* ARABIC </w:instrText>
      </w:r>
      <w:r w:rsidRPr="003D6C5D">
        <w:rPr>
          <w:rFonts w:ascii="Times New Roman" w:hAnsi="Times New Roman" w:cs="Times New Roman"/>
          <w:i/>
          <w:iCs/>
          <w:sz w:val="24"/>
          <w:szCs w:val="24"/>
          <w:lang w:eastAsia="de-DE"/>
        </w:rPr>
        <w:fldChar w:fldCharType="separate"/>
      </w:r>
      <w:r w:rsidRPr="003D6C5D">
        <w:rPr>
          <w:rFonts w:ascii="Times New Roman" w:hAnsi="Times New Roman" w:cs="Times New Roman"/>
          <w:i/>
          <w:iCs/>
          <w:sz w:val="24"/>
          <w:szCs w:val="24"/>
          <w:lang w:val="en-US" w:eastAsia="de-DE"/>
        </w:rPr>
        <w:t>1</w:t>
      </w:r>
      <w:r w:rsidRPr="003D6C5D">
        <w:rPr>
          <w:rFonts w:ascii="Times New Roman" w:hAnsi="Times New Roman" w:cs="Times New Roman"/>
          <w:sz w:val="24"/>
          <w:szCs w:val="24"/>
          <w:lang w:val="en-US" w:eastAsia="de-DE"/>
        </w:rPr>
        <w:fldChar w:fldCharType="end"/>
      </w:r>
      <w:r w:rsidRPr="003D6C5D">
        <w:rPr>
          <w:rFonts w:ascii="Times New Roman" w:hAnsi="Times New Roman" w:cs="Times New Roman"/>
          <w:i/>
          <w:iCs/>
          <w:sz w:val="24"/>
          <w:szCs w:val="24"/>
          <w:lang w:val="en-US" w:eastAsia="de-DE"/>
        </w:rPr>
        <w:t xml:space="preserve"> Equity curve (with and without taxation) and WIG</w:t>
      </w:r>
    </w:p>
    <w:p w14:paraId="2BBBC013" w14:textId="77777777" w:rsidR="00733CA7" w:rsidRPr="003D6C5D" w:rsidRDefault="00733CA7" w:rsidP="0071390A">
      <w:pPr>
        <w:spacing w:before="0" w:after="0" w:line="360" w:lineRule="auto"/>
        <w:jc w:val="both"/>
        <w:rPr>
          <w:rFonts w:ascii="Times New Roman" w:hAnsi="Times New Roman" w:cs="Times New Roman"/>
          <w:sz w:val="24"/>
          <w:szCs w:val="24"/>
          <w:lang w:val="en-US" w:eastAsia="de-DE"/>
        </w:rPr>
      </w:pPr>
      <w:r w:rsidRPr="003D6C5D">
        <w:rPr>
          <w:rFonts w:ascii="Times New Roman" w:hAnsi="Times New Roman" w:cs="Times New Roman"/>
          <w:noProof/>
          <w:sz w:val="24"/>
          <w:szCs w:val="24"/>
          <w:lang w:eastAsia="pl-PL"/>
        </w:rPr>
        <w:drawing>
          <wp:inline distT="0" distB="0" distL="0" distR="0" wp14:anchorId="284896FC" wp14:editId="03D51AF1">
            <wp:extent cx="5048250" cy="36080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0" cy="3608070"/>
                    </a:xfrm>
                    <a:prstGeom prst="rect">
                      <a:avLst/>
                    </a:prstGeom>
                    <a:noFill/>
                    <a:ln>
                      <a:noFill/>
                    </a:ln>
                  </pic:spPr>
                </pic:pic>
              </a:graphicData>
            </a:graphic>
          </wp:inline>
        </w:drawing>
      </w:r>
    </w:p>
    <w:p w14:paraId="5CC455F8" w14:textId="77777777" w:rsidR="00733CA7" w:rsidRPr="003D6C5D" w:rsidRDefault="00733CA7" w:rsidP="0071390A">
      <w:pPr>
        <w:spacing w:before="0" w:after="0" w:line="360" w:lineRule="auto"/>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Source:</w:t>
      </w:r>
      <w:r w:rsidR="007427E9">
        <w:rPr>
          <w:rFonts w:ascii="Times New Roman" w:hAnsi="Times New Roman" w:cs="Times New Roman"/>
          <w:sz w:val="24"/>
          <w:szCs w:val="24"/>
          <w:lang w:val="en-US" w:eastAsia="de-DE"/>
        </w:rPr>
        <w:t xml:space="preserve"> authors’</w:t>
      </w:r>
      <w:r w:rsidRPr="003D6C5D">
        <w:rPr>
          <w:rFonts w:ascii="Times New Roman" w:hAnsi="Times New Roman" w:cs="Times New Roman"/>
          <w:sz w:val="24"/>
          <w:szCs w:val="24"/>
          <w:lang w:val="en-US" w:eastAsia="de-DE"/>
        </w:rPr>
        <w:t xml:space="preserve"> own calculations</w:t>
      </w:r>
    </w:p>
    <w:p w14:paraId="7322E65B" w14:textId="77777777" w:rsidR="00733CA7" w:rsidRDefault="00733CA7" w:rsidP="0071390A">
      <w:pPr>
        <w:spacing w:before="0" w:after="0" w:line="360" w:lineRule="auto"/>
        <w:ind w:firstLine="426"/>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The rate of return is 29% (23% after taxation), however it represents only starting and ending points of the equity. It also must be mentioned, that 29% was achieved in more than 11 years, which is actually lower than profits gained on risk-free instruments at the same time. Moreover, the maximum draw down is 77% (78% after taxation) which is unacceptable by majority of the investors.</w:t>
      </w:r>
    </w:p>
    <w:p w14:paraId="1CEC140B" w14:textId="77777777" w:rsidR="00831209" w:rsidRPr="00D33980" w:rsidRDefault="00807F2C" w:rsidP="00D33980">
      <w:pPr>
        <w:spacing w:before="0" w:after="0" w:line="360" w:lineRule="auto"/>
        <w:ind w:firstLine="426"/>
        <w:jc w:val="both"/>
        <w:rPr>
          <w:rFonts w:ascii="Times New Roman" w:hAnsi="Times New Roman" w:cs="Times New Roman"/>
          <w:sz w:val="24"/>
          <w:szCs w:val="24"/>
          <w:lang w:val="en-US" w:eastAsia="de-DE"/>
        </w:rPr>
      </w:pPr>
      <w:r>
        <w:rPr>
          <w:rFonts w:ascii="Times New Roman" w:hAnsi="Times New Roman" w:cs="Times New Roman"/>
          <w:sz w:val="24"/>
          <w:szCs w:val="24"/>
          <w:lang w:val="en-US" w:eastAsia="de-DE"/>
        </w:rPr>
        <w:t>The equity curve which includ</w:t>
      </w:r>
      <w:r w:rsidR="00D912E8">
        <w:rPr>
          <w:rFonts w:ascii="Times New Roman" w:hAnsi="Times New Roman" w:cs="Times New Roman"/>
          <w:sz w:val="24"/>
          <w:szCs w:val="24"/>
          <w:lang w:val="en-US" w:eastAsia="de-DE"/>
        </w:rPr>
        <w:t>e</w:t>
      </w:r>
      <w:r>
        <w:rPr>
          <w:rFonts w:ascii="Times New Roman" w:hAnsi="Times New Roman" w:cs="Times New Roman"/>
          <w:sz w:val="24"/>
          <w:szCs w:val="24"/>
          <w:lang w:val="en-US" w:eastAsia="de-DE"/>
        </w:rPr>
        <w:t>s</w:t>
      </w:r>
      <w:r w:rsidR="00831209">
        <w:rPr>
          <w:rFonts w:ascii="Times New Roman" w:hAnsi="Times New Roman" w:cs="Times New Roman"/>
          <w:sz w:val="24"/>
          <w:szCs w:val="24"/>
          <w:lang w:val="en-US" w:eastAsia="de-DE"/>
        </w:rPr>
        <w:t xml:space="preserve"> the tax paid by investors mak</w:t>
      </w:r>
      <w:r w:rsidR="00077B6F">
        <w:rPr>
          <w:rFonts w:ascii="Times New Roman" w:hAnsi="Times New Roman" w:cs="Times New Roman"/>
          <w:sz w:val="24"/>
          <w:szCs w:val="24"/>
          <w:lang w:val="en-US" w:eastAsia="de-DE"/>
        </w:rPr>
        <w:t>es the results even worse</w:t>
      </w:r>
      <w:r w:rsidR="00831209">
        <w:rPr>
          <w:rFonts w:ascii="Times New Roman" w:hAnsi="Times New Roman" w:cs="Times New Roman"/>
          <w:sz w:val="24"/>
          <w:szCs w:val="24"/>
          <w:lang w:val="en-US" w:eastAsia="de-DE"/>
        </w:rPr>
        <w:t>.</w:t>
      </w:r>
      <w:r w:rsidR="00E673A8">
        <w:rPr>
          <w:rFonts w:ascii="Times New Roman" w:hAnsi="Times New Roman" w:cs="Times New Roman"/>
          <w:sz w:val="24"/>
          <w:szCs w:val="24"/>
          <w:lang w:val="en-US" w:eastAsia="de-DE"/>
        </w:rPr>
        <w:t xml:space="preserve"> During</w:t>
      </w:r>
      <w:r w:rsidR="00F77F76">
        <w:rPr>
          <w:rFonts w:ascii="Times New Roman" w:hAnsi="Times New Roman" w:cs="Times New Roman"/>
          <w:sz w:val="24"/>
          <w:szCs w:val="24"/>
          <w:lang w:val="en-US" w:eastAsia="de-DE"/>
        </w:rPr>
        <w:t xml:space="preserve"> 2015 and 2017 the capital gain</w:t>
      </w:r>
      <w:r w:rsidR="007941DB">
        <w:rPr>
          <w:rFonts w:ascii="Times New Roman" w:hAnsi="Times New Roman" w:cs="Times New Roman"/>
          <w:sz w:val="24"/>
          <w:szCs w:val="24"/>
          <w:lang w:val="en-US" w:eastAsia="de-DE"/>
        </w:rPr>
        <w:t>s</w:t>
      </w:r>
      <w:r w:rsidR="00F77F76">
        <w:rPr>
          <w:rFonts w:ascii="Times New Roman" w:hAnsi="Times New Roman" w:cs="Times New Roman"/>
          <w:sz w:val="24"/>
          <w:szCs w:val="24"/>
          <w:lang w:val="en-US" w:eastAsia="de-DE"/>
        </w:rPr>
        <w:t xml:space="preserve"> are smaller because investors were forced to pay tax. </w:t>
      </w:r>
      <w:r w:rsidR="0099282E">
        <w:rPr>
          <w:rFonts w:ascii="Times New Roman" w:hAnsi="Times New Roman" w:cs="Times New Roman"/>
          <w:sz w:val="24"/>
          <w:szCs w:val="24"/>
          <w:lang w:val="en-US" w:eastAsia="de-DE"/>
        </w:rPr>
        <w:t xml:space="preserve">Consequently, the equity tax curve is located below the equity curve. </w:t>
      </w:r>
      <w:r w:rsidR="004314F5">
        <w:rPr>
          <w:rFonts w:ascii="Times New Roman" w:hAnsi="Times New Roman" w:cs="Times New Roman"/>
          <w:sz w:val="24"/>
          <w:szCs w:val="24"/>
          <w:lang w:val="en-US" w:eastAsia="de-DE"/>
        </w:rPr>
        <w:t>Since the begging of 2006 throu</w:t>
      </w:r>
      <w:r w:rsidR="00B20A55">
        <w:rPr>
          <w:rFonts w:ascii="Times New Roman" w:hAnsi="Times New Roman" w:cs="Times New Roman"/>
          <w:sz w:val="24"/>
          <w:szCs w:val="24"/>
          <w:lang w:val="en-US" w:eastAsia="de-DE"/>
        </w:rPr>
        <w:t xml:space="preserve">gh 2014 the equity tax curve </w:t>
      </w:r>
      <w:r w:rsidR="00844ECD">
        <w:rPr>
          <w:rFonts w:ascii="Times New Roman" w:hAnsi="Times New Roman" w:cs="Times New Roman"/>
          <w:sz w:val="24"/>
          <w:szCs w:val="24"/>
          <w:lang w:val="en-US" w:eastAsia="de-DE"/>
        </w:rPr>
        <w:t>follow</w:t>
      </w:r>
      <w:r w:rsidR="00B20A55">
        <w:rPr>
          <w:rFonts w:ascii="Times New Roman" w:hAnsi="Times New Roman" w:cs="Times New Roman"/>
          <w:sz w:val="24"/>
          <w:szCs w:val="24"/>
          <w:lang w:val="en-US" w:eastAsia="de-DE"/>
        </w:rPr>
        <w:t>s</w:t>
      </w:r>
      <w:r w:rsidR="004314F5">
        <w:rPr>
          <w:rFonts w:ascii="Times New Roman" w:hAnsi="Times New Roman" w:cs="Times New Roman"/>
          <w:sz w:val="24"/>
          <w:szCs w:val="24"/>
          <w:lang w:val="en-US" w:eastAsia="de-DE"/>
        </w:rPr>
        <w:t xml:space="preserve"> the equity curve becaus</w:t>
      </w:r>
      <w:r w:rsidR="00D33980">
        <w:rPr>
          <w:rFonts w:ascii="Times New Roman" w:hAnsi="Times New Roman" w:cs="Times New Roman"/>
          <w:sz w:val="24"/>
          <w:szCs w:val="24"/>
          <w:lang w:val="en-US" w:eastAsia="de-DE"/>
        </w:rPr>
        <w:t>e investors could us</w:t>
      </w:r>
      <w:r w:rsidR="00D748DE">
        <w:rPr>
          <w:rFonts w:ascii="Times New Roman" w:hAnsi="Times New Roman" w:cs="Times New Roman"/>
          <w:sz w:val="24"/>
          <w:szCs w:val="24"/>
          <w:lang w:val="en-US" w:eastAsia="de-DE"/>
        </w:rPr>
        <w:t>e tax shield method</w:t>
      </w:r>
      <w:r w:rsidR="00946618">
        <w:rPr>
          <w:rFonts w:ascii="Times New Roman" w:hAnsi="Times New Roman" w:cs="Times New Roman"/>
          <w:sz w:val="24"/>
          <w:szCs w:val="24"/>
          <w:lang w:val="en-US" w:eastAsia="de-DE"/>
        </w:rPr>
        <w:t xml:space="preserve">. The individuals </w:t>
      </w:r>
      <w:r w:rsidR="00946618">
        <w:rPr>
          <w:rFonts w:ascii="Times New Roman" w:eastAsia="SimSun" w:hAnsi="Times New Roman" w:cs="Times New Roman"/>
          <w:color w:val="000000"/>
          <w:kern w:val="1"/>
          <w:sz w:val="24"/>
          <w:szCs w:val="24"/>
          <w:lang w:val="en-US" w:eastAsia="zh-CN" w:bidi="hi-IN"/>
        </w:rPr>
        <w:t>may deduct losses</w:t>
      </w:r>
      <w:r w:rsidR="00946618" w:rsidRPr="00946618">
        <w:rPr>
          <w:rFonts w:ascii="Times New Roman" w:eastAsia="SimSun" w:hAnsi="Times New Roman" w:cs="Times New Roman"/>
          <w:color w:val="000000"/>
          <w:kern w:val="1"/>
          <w:sz w:val="24"/>
          <w:szCs w:val="24"/>
          <w:lang w:val="en-US" w:eastAsia="zh-CN" w:bidi="hi-IN"/>
        </w:rPr>
        <w:t xml:space="preserve"> over five consecutive tax years (but no more than 50% of the loss generated in the previous years</w:t>
      </w:r>
      <w:r w:rsidR="00946618">
        <w:rPr>
          <w:rFonts w:ascii="Times New Roman" w:hAnsi="Times New Roman" w:cs="Times New Roman"/>
          <w:sz w:val="24"/>
          <w:szCs w:val="24"/>
          <w:lang w:val="en-US" w:eastAsia="de-DE"/>
        </w:rPr>
        <w:t xml:space="preserve"> </w:t>
      </w:r>
      <w:r w:rsidR="00D33980">
        <w:rPr>
          <w:rFonts w:ascii="Times New Roman" w:hAnsi="Times New Roman" w:cs="Times New Roman"/>
          <w:sz w:val="24"/>
          <w:szCs w:val="24"/>
          <w:lang w:val="en-US" w:eastAsia="de-DE"/>
        </w:rPr>
        <w:t>to reduce the tax</w:t>
      </w:r>
      <w:r w:rsidR="00DC0336">
        <w:rPr>
          <w:rFonts w:ascii="Times New Roman" w:hAnsi="Times New Roman" w:cs="Times New Roman"/>
          <w:sz w:val="24"/>
          <w:szCs w:val="24"/>
          <w:lang w:val="en-US" w:eastAsia="de-DE"/>
        </w:rPr>
        <w:t>)</w:t>
      </w:r>
      <w:r w:rsidR="00D33980">
        <w:rPr>
          <w:rFonts w:ascii="Times New Roman" w:hAnsi="Times New Roman" w:cs="Times New Roman"/>
          <w:sz w:val="24"/>
          <w:szCs w:val="24"/>
          <w:lang w:val="en-US" w:eastAsia="de-DE"/>
        </w:rPr>
        <w:t xml:space="preserve">. </w:t>
      </w:r>
      <w:r w:rsidR="00D33980" w:rsidRPr="00AB5805">
        <w:rPr>
          <w:rFonts w:ascii="Times New Roman" w:hAnsi="Times New Roman" w:cs="Times New Roman"/>
          <w:sz w:val="24"/>
          <w:szCs w:val="24"/>
          <w:lang w:val="en-US" w:eastAsia="de-DE"/>
        </w:rPr>
        <w:t>These deductions reduce a taxpayer's taxable income for a given year or defer income taxes into future years.</w:t>
      </w:r>
    </w:p>
    <w:p w14:paraId="27C99B87" w14:textId="77777777" w:rsidR="00733CA7" w:rsidRPr="003D6C5D" w:rsidRDefault="00733CA7" w:rsidP="0071390A">
      <w:pPr>
        <w:spacing w:before="0" w:after="0" w:line="360" w:lineRule="auto"/>
        <w:ind w:firstLine="426"/>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 xml:space="preserve">The comparison of the equity curve of recommendations to the index WIG also exposes the weakness of reco-following strategy. The WIG performs usually better, </w:t>
      </w:r>
      <w:r w:rsidRPr="003D6C5D">
        <w:rPr>
          <w:rFonts w:ascii="Times New Roman" w:hAnsi="Times New Roman" w:cs="Times New Roman"/>
          <w:sz w:val="24"/>
          <w:szCs w:val="24"/>
          <w:lang w:val="en-US" w:eastAsia="de-DE"/>
        </w:rPr>
        <w:lastRenderedPageBreak/>
        <w:t xml:space="preserve">especially during down-trends and, what is obvious, following the WIG passively does not generate additional costs and does not require any time commitment. </w:t>
      </w:r>
    </w:p>
    <w:p w14:paraId="7C603FFD" w14:textId="77777777" w:rsidR="00733CA7" w:rsidRPr="003D6C5D" w:rsidRDefault="00733CA7" w:rsidP="0071390A">
      <w:pPr>
        <w:spacing w:before="0" w:after="0" w:line="360" w:lineRule="auto"/>
        <w:ind w:firstLine="426"/>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In the market reality, investors usually do not follow every recommendation. They have their favorites recommenders or they just use the analysis of the brokerage house which provides them trading services. That is why some analysts are followed more often than the others. And for that reason, the equity curves of top-5 recommenders are analyzed.</w:t>
      </w:r>
    </w:p>
    <w:p w14:paraId="1383C4B9" w14:textId="77777777" w:rsidR="00733CA7" w:rsidRPr="003D6C5D" w:rsidRDefault="00733CA7" w:rsidP="0071390A">
      <w:pPr>
        <w:spacing w:before="0" w:after="0" w:line="360" w:lineRule="auto"/>
        <w:jc w:val="both"/>
        <w:rPr>
          <w:rFonts w:ascii="Times New Roman" w:hAnsi="Times New Roman" w:cs="Times New Roman"/>
          <w:i/>
          <w:iCs/>
          <w:sz w:val="24"/>
          <w:szCs w:val="24"/>
          <w:lang w:val="en-US" w:eastAsia="de-DE"/>
        </w:rPr>
      </w:pPr>
      <w:r w:rsidRPr="003D6C5D">
        <w:rPr>
          <w:rFonts w:ascii="Times New Roman" w:hAnsi="Times New Roman" w:cs="Times New Roman"/>
          <w:i/>
          <w:iCs/>
          <w:sz w:val="24"/>
          <w:szCs w:val="24"/>
          <w:lang w:val="en-US" w:eastAsia="de-DE"/>
        </w:rPr>
        <w:t xml:space="preserve">Figure </w:t>
      </w:r>
      <w:r w:rsidRPr="003D6C5D">
        <w:rPr>
          <w:rFonts w:ascii="Times New Roman" w:hAnsi="Times New Roman" w:cs="Times New Roman"/>
          <w:i/>
          <w:iCs/>
          <w:sz w:val="24"/>
          <w:szCs w:val="24"/>
          <w:lang w:eastAsia="de-DE"/>
        </w:rPr>
        <w:fldChar w:fldCharType="begin"/>
      </w:r>
      <w:r w:rsidRPr="003D6C5D">
        <w:rPr>
          <w:rFonts w:ascii="Times New Roman" w:hAnsi="Times New Roman" w:cs="Times New Roman"/>
          <w:i/>
          <w:iCs/>
          <w:sz w:val="24"/>
          <w:szCs w:val="24"/>
          <w:lang w:val="en-US" w:eastAsia="de-DE"/>
        </w:rPr>
        <w:instrText xml:space="preserve"> SEQ Figure \* ARABIC </w:instrText>
      </w:r>
      <w:r w:rsidRPr="003D6C5D">
        <w:rPr>
          <w:rFonts w:ascii="Times New Roman" w:hAnsi="Times New Roman" w:cs="Times New Roman"/>
          <w:i/>
          <w:iCs/>
          <w:sz w:val="24"/>
          <w:szCs w:val="24"/>
          <w:lang w:eastAsia="de-DE"/>
        </w:rPr>
        <w:fldChar w:fldCharType="separate"/>
      </w:r>
      <w:r w:rsidRPr="003D6C5D">
        <w:rPr>
          <w:rFonts w:ascii="Times New Roman" w:hAnsi="Times New Roman" w:cs="Times New Roman"/>
          <w:i/>
          <w:iCs/>
          <w:sz w:val="24"/>
          <w:szCs w:val="24"/>
          <w:lang w:val="en-US" w:eastAsia="de-DE"/>
        </w:rPr>
        <w:t>2</w:t>
      </w:r>
      <w:r w:rsidRPr="003D6C5D">
        <w:rPr>
          <w:rFonts w:ascii="Times New Roman" w:hAnsi="Times New Roman" w:cs="Times New Roman"/>
          <w:sz w:val="24"/>
          <w:szCs w:val="24"/>
          <w:lang w:val="en-US" w:eastAsia="de-DE"/>
        </w:rPr>
        <w:fldChar w:fldCharType="end"/>
      </w:r>
      <w:r w:rsidRPr="003D6C5D">
        <w:rPr>
          <w:rFonts w:ascii="Times New Roman" w:hAnsi="Times New Roman" w:cs="Times New Roman"/>
          <w:i/>
          <w:iCs/>
          <w:sz w:val="24"/>
          <w:szCs w:val="24"/>
          <w:lang w:val="en-US" w:eastAsia="de-DE"/>
        </w:rPr>
        <w:t xml:space="preserve"> Equity curve of top-5 recommenders and WIG</w:t>
      </w:r>
    </w:p>
    <w:p w14:paraId="411EB1C4" w14:textId="77777777" w:rsidR="00733CA7" w:rsidRPr="003D6C5D" w:rsidRDefault="00733CA7" w:rsidP="0071390A">
      <w:pPr>
        <w:spacing w:before="0" w:after="0" w:line="360" w:lineRule="auto"/>
        <w:jc w:val="both"/>
        <w:rPr>
          <w:rFonts w:ascii="Times New Roman" w:hAnsi="Times New Roman" w:cs="Times New Roman"/>
          <w:sz w:val="24"/>
          <w:szCs w:val="24"/>
          <w:lang w:eastAsia="de-DE"/>
        </w:rPr>
      </w:pPr>
      <w:r w:rsidRPr="003D6C5D">
        <w:rPr>
          <w:rFonts w:ascii="Times New Roman" w:hAnsi="Times New Roman" w:cs="Times New Roman"/>
          <w:noProof/>
          <w:sz w:val="24"/>
          <w:szCs w:val="24"/>
          <w:lang w:eastAsia="pl-PL"/>
        </w:rPr>
        <w:drawing>
          <wp:inline distT="0" distB="0" distL="0" distR="0" wp14:anchorId="2177376A" wp14:editId="7595A942">
            <wp:extent cx="5048250" cy="360807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0" cy="3608070"/>
                    </a:xfrm>
                    <a:prstGeom prst="rect">
                      <a:avLst/>
                    </a:prstGeom>
                    <a:noFill/>
                    <a:ln>
                      <a:noFill/>
                    </a:ln>
                  </pic:spPr>
                </pic:pic>
              </a:graphicData>
            </a:graphic>
          </wp:inline>
        </w:drawing>
      </w:r>
    </w:p>
    <w:p w14:paraId="51968DC2" w14:textId="77777777" w:rsidR="00733CA7" w:rsidRPr="003D6C5D" w:rsidRDefault="00733CA7" w:rsidP="0071390A">
      <w:pPr>
        <w:spacing w:before="0" w:after="0" w:line="360" w:lineRule="auto"/>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 xml:space="preserve">Source: </w:t>
      </w:r>
      <w:r w:rsidR="001560DE">
        <w:rPr>
          <w:rFonts w:ascii="Times New Roman" w:hAnsi="Times New Roman" w:cs="Times New Roman"/>
          <w:sz w:val="24"/>
          <w:szCs w:val="24"/>
          <w:lang w:val="en-US" w:eastAsia="de-DE"/>
        </w:rPr>
        <w:t xml:space="preserve">authors’ </w:t>
      </w:r>
      <w:r w:rsidRPr="003D6C5D">
        <w:rPr>
          <w:rFonts w:ascii="Times New Roman" w:hAnsi="Times New Roman" w:cs="Times New Roman"/>
          <w:sz w:val="24"/>
          <w:szCs w:val="24"/>
          <w:lang w:val="en-US" w:eastAsia="de-DE"/>
        </w:rPr>
        <w:t>own calculations</w:t>
      </w:r>
    </w:p>
    <w:p w14:paraId="17C9385A" w14:textId="77777777" w:rsidR="00733CA7" w:rsidRPr="003D6C5D" w:rsidRDefault="00733CA7" w:rsidP="0071390A">
      <w:pPr>
        <w:spacing w:before="0" w:after="0" w:line="360" w:lineRule="auto"/>
        <w:ind w:firstLine="426"/>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The equity curves analysis predestines BOŚ DM as a leader among all recommenders. Its first place in equity comparison is due to high number of recommendations – three times higher than other top-5 recommenders, what strongly confirms statistical edge of BOŚ DM. Other recommenders – Noble, BGŻ, Haitong and BPS DM – do not escalate with the number of analysis and publish them rather rarely.</w:t>
      </w:r>
    </w:p>
    <w:p w14:paraId="1D838540" w14:textId="77777777" w:rsidR="00733CA7" w:rsidRPr="003D6C5D" w:rsidRDefault="00733CA7" w:rsidP="0071390A">
      <w:pPr>
        <w:spacing w:before="0" w:after="0" w:line="360" w:lineRule="auto"/>
        <w:ind w:firstLine="426"/>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One of the most important finding of the equity analysis is that top-5 recommenders are conservative during recession. Even most active BOŚ DM did not publish trading suggestions for bear market in 2007-2008 and 2011. Increase in activity is visible from 2013 which has provided excellent performance and dynamic growth of equity curves. Although WIG fell in 2015 by 20%, the top-5 recommenders were able to resist unfavorable market situation.</w:t>
      </w:r>
    </w:p>
    <w:p w14:paraId="599BB6B3" w14:textId="77777777" w:rsidR="00733CA7" w:rsidRPr="003D6C5D" w:rsidRDefault="00733CA7" w:rsidP="0071390A">
      <w:pPr>
        <w:spacing w:before="0" w:after="0" w:line="360" w:lineRule="auto"/>
        <w:jc w:val="both"/>
        <w:rPr>
          <w:rFonts w:ascii="Times New Roman" w:hAnsi="Times New Roman" w:cs="Times New Roman"/>
          <w:b/>
          <w:sz w:val="24"/>
          <w:szCs w:val="24"/>
          <w:lang w:val="en-US" w:eastAsia="de-DE"/>
        </w:rPr>
      </w:pPr>
    </w:p>
    <w:p w14:paraId="45BCD1AF" w14:textId="77777777" w:rsidR="00733CA7" w:rsidRPr="003D6C5D" w:rsidRDefault="00733CA7" w:rsidP="0071390A">
      <w:pPr>
        <w:spacing w:before="0" w:after="0" w:line="360" w:lineRule="auto"/>
        <w:jc w:val="both"/>
        <w:rPr>
          <w:rFonts w:ascii="Times New Roman" w:hAnsi="Times New Roman" w:cs="Times New Roman"/>
          <w:b/>
          <w:sz w:val="24"/>
          <w:szCs w:val="24"/>
          <w:lang w:val="en-US" w:eastAsia="de-DE"/>
        </w:rPr>
      </w:pPr>
      <w:r w:rsidRPr="003D6C5D">
        <w:rPr>
          <w:rFonts w:ascii="Times New Roman" w:hAnsi="Times New Roman" w:cs="Times New Roman"/>
          <w:b/>
          <w:sz w:val="24"/>
          <w:szCs w:val="24"/>
          <w:lang w:val="en-US" w:eastAsia="de-DE"/>
        </w:rPr>
        <w:t>Conclusions</w:t>
      </w:r>
    </w:p>
    <w:p w14:paraId="77C50C8C" w14:textId="77777777" w:rsidR="00733CA7" w:rsidRPr="003D6C5D" w:rsidRDefault="00733CA7" w:rsidP="0071390A">
      <w:pPr>
        <w:spacing w:before="0" w:after="0" w:line="360" w:lineRule="auto"/>
        <w:ind w:firstLine="426"/>
        <w:jc w:val="both"/>
        <w:rPr>
          <w:rFonts w:ascii="Times New Roman" w:hAnsi="Times New Roman" w:cs="Times New Roman"/>
          <w:sz w:val="24"/>
          <w:szCs w:val="24"/>
          <w:lang w:val="en-US" w:eastAsia="de-DE"/>
        </w:rPr>
      </w:pPr>
      <w:r w:rsidRPr="003D6C5D">
        <w:rPr>
          <w:rFonts w:ascii="Times New Roman" w:hAnsi="Times New Roman" w:cs="Times New Roman"/>
          <w:sz w:val="24"/>
          <w:szCs w:val="24"/>
          <w:lang w:val="en-US" w:eastAsia="de-DE"/>
        </w:rPr>
        <w:t xml:space="preserve">The complete research of recommendation positively verified the hypothesis, that overall quality of recommendations is extremely low (and naturally the problem is getting worse after imposition of the tax). The trading based on suggestions published by ‘so-called’ professionals (analysts of financial institutions) can lead to disaster, which is caused not only by poor rate of return, but especially by extremely high value </w:t>
      </w:r>
      <w:r w:rsidRPr="003D6C5D">
        <w:rPr>
          <w:rFonts w:ascii="Times New Roman" w:hAnsi="Times New Roman" w:cs="Times New Roman"/>
          <w:sz w:val="24"/>
          <w:szCs w:val="24"/>
          <w:lang w:val="en-US" w:eastAsia="de-DE"/>
        </w:rPr>
        <w:br/>
        <w:t xml:space="preserve">of drawdowns. However, among 55 recommenders there are a few whose suggestions may be treated seriously. Stable and satisfactory long-term results are delivered </w:t>
      </w:r>
      <w:r w:rsidRPr="003D6C5D">
        <w:rPr>
          <w:rFonts w:ascii="Times New Roman" w:hAnsi="Times New Roman" w:cs="Times New Roman"/>
          <w:sz w:val="24"/>
          <w:szCs w:val="24"/>
          <w:lang w:val="en-US" w:eastAsia="de-DE"/>
        </w:rPr>
        <w:br/>
        <w:t>by 5 institutions: Noble Securities, BGŻ BM, BOŚ DM, Haitong Bank and BPS DM (and a few more, however, their performance is not fully satisfied). They, the reco-leaders, can be followed successfully by individuals.</w:t>
      </w:r>
    </w:p>
    <w:p w14:paraId="5D7F5F3A" w14:textId="77777777" w:rsidR="00733CA7" w:rsidRPr="003D6C5D" w:rsidRDefault="0071390A" w:rsidP="0071390A">
      <w:pPr>
        <w:spacing w:before="0" w:after="0" w:line="360" w:lineRule="auto"/>
        <w:ind w:firstLine="426"/>
        <w:jc w:val="both"/>
        <w:rPr>
          <w:rFonts w:ascii="Times New Roman" w:hAnsi="Times New Roman" w:cs="Times New Roman"/>
          <w:sz w:val="24"/>
          <w:szCs w:val="24"/>
          <w:lang w:val="en-US" w:eastAsia="de-DE"/>
        </w:rPr>
      </w:pPr>
      <w:r>
        <w:rPr>
          <w:rFonts w:ascii="Times New Roman" w:hAnsi="Times New Roman" w:cs="Times New Roman"/>
          <w:sz w:val="24"/>
          <w:szCs w:val="24"/>
          <w:lang w:val="en-US" w:eastAsia="de-DE"/>
        </w:rPr>
        <w:t>Unfortunately, overall weak performance does</w:t>
      </w:r>
      <w:r w:rsidR="00733CA7" w:rsidRPr="003D6C5D">
        <w:rPr>
          <w:rFonts w:ascii="Times New Roman" w:hAnsi="Times New Roman" w:cs="Times New Roman"/>
          <w:sz w:val="24"/>
          <w:szCs w:val="24"/>
          <w:lang w:val="en-US" w:eastAsia="de-DE"/>
        </w:rPr>
        <w:t xml:space="preserve"> not imply any changes in regulations. The rules of preparing and publishing the recommendations are the same since many years and there are no restrictions for financial institutions which prove permanent underperformance. Many analysts (or their bosses) do not learn on their own mistakes and do not make any improvements on the basis </w:t>
      </w:r>
      <w:r w:rsidR="00D050A9">
        <w:rPr>
          <w:rFonts w:ascii="Times New Roman" w:hAnsi="Times New Roman" w:cs="Times New Roman"/>
          <w:sz w:val="24"/>
          <w:szCs w:val="24"/>
          <w:lang w:val="en-US" w:eastAsia="de-DE"/>
        </w:rPr>
        <w:t>of the historical results. Perhaps</w:t>
      </w:r>
      <w:r w:rsidR="00733CA7" w:rsidRPr="003D6C5D">
        <w:rPr>
          <w:rFonts w:ascii="Times New Roman" w:hAnsi="Times New Roman" w:cs="Times New Roman"/>
          <w:sz w:val="24"/>
          <w:szCs w:val="24"/>
          <w:lang w:val="en-US" w:eastAsia="de-DE"/>
        </w:rPr>
        <w:t xml:space="preserve"> in these cases the only reason to publish (bad or any) recommendations is to encourage the customers to place the orders and just to charge them on the trading commission.</w:t>
      </w:r>
    </w:p>
    <w:p w14:paraId="7A752462" w14:textId="77777777" w:rsidR="00733CA7" w:rsidRPr="003D6C5D" w:rsidRDefault="00733CA7" w:rsidP="0071390A">
      <w:pPr>
        <w:spacing w:before="0" w:after="0" w:line="360" w:lineRule="auto"/>
        <w:jc w:val="both"/>
        <w:rPr>
          <w:rFonts w:ascii="Calibri" w:hAnsi="Calibri"/>
          <w:b/>
          <w:lang w:val="en-US" w:eastAsia="de-DE"/>
        </w:rPr>
      </w:pPr>
    </w:p>
    <w:p w14:paraId="7B01CE84" w14:textId="03808916" w:rsidR="00733CA7" w:rsidRPr="003D6C5D" w:rsidRDefault="004207A6" w:rsidP="0071390A">
      <w:pPr>
        <w:spacing w:before="0" w:after="0" w:line="360" w:lineRule="auto"/>
        <w:jc w:val="both"/>
        <w:rPr>
          <w:rFonts w:ascii="Times New Roman" w:hAnsi="Times New Roman" w:cs="Times New Roman"/>
          <w:b/>
          <w:sz w:val="24"/>
          <w:szCs w:val="24"/>
          <w:lang w:val="en-US" w:eastAsia="de-DE"/>
        </w:rPr>
      </w:pPr>
      <w:r>
        <w:rPr>
          <w:rFonts w:ascii="Times New Roman" w:hAnsi="Times New Roman" w:cs="Times New Roman"/>
          <w:b/>
          <w:sz w:val="24"/>
          <w:szCs w:val="24"/>
          <w:lang w:val="en-US" w:eastAsia="de-DE"/>
        </w:rPr>
        <w:t>B</w:t>
      </w:r>
      <w:r w:rsidR="00733CA7" w:rsidRPr="003D6C5D">
        <w:rPr>
          <w:rFonts w:ascii="Times New Roman" w:hAnsi="Times New Roman" w:cs="Times New Roman"/>
          <w:b/>
          <w:sz w:val="24"/>
          <w:szCs w:val="24"/>
          <w:lang w:val="en-US" w:eastAsia="de-DE"/>
        </w:rPr>
        <w:t>ibliography:</w:t>
      </w:r>
    </w:p>
    <w:p w14:paraId="0F5C952B" w14:textId="77777777" w:rsidR="00733CA7" w:rsidRPr="00AB5805" w:rsidRDefault="00733CA7" w:rsidP="0071390A">
      <w:pPr>
        <w:spacing w:before="0" w:after="0" w:line="360" w:lineRule="auto"/>
        <w:jc w:val="both"/>
        <w:rPr>
          <w:rFonts w:ascii="Times New Roman" w:eastAsia="Times New Roman" w:hAnsi="Times New Roman" w:cs="Times New Roman"/>
          <w:lang w:val="en-US" w:eastAsia="pl-PL"/>
        </w:rPr>
      </w:pPr>
      <w:r w:rsidRPr="00AB5805">
        <w:rPr>
          <w:rFonts w:ascii="Times New Roman" w:eastAsia="Times New Roman" w:hAnsi="Times New Roman" w:cs="Times New Roman"/>
          <w:lang w:val="en-US" w:eastAsia="pl-PL"/>
        </w:rPr>
        <w:t xml:space="preserve">Amir E., Ganzach Y. (1998), </w:t>
      </w:r>
      <w:r w:rsidRPr="00AB5805">
        <w:rPr>
          <w:rFonts w:ascii="Times New Roman" w:eastAsia="Times New Roman" w:hAnsi="Times New Roman" w:cs="Times New Roman"/>
          <w:i/>
          <w:lang w:val="en-US" w:eastAsia="pl-PL"/>
        </w:rPr>
        <w:t>Overreaction and underreaction in analysts’ forecasts</w:t>
      </w:r>
      <w:r w:rsidRPr="00AB5805">
        <w:rPr>
          <w:rFonts w:ascii="Times New Roman" w:eastAsia="Times New Roman" w:hAnsi="Times New Roman" w:cs="Times New Roman"/>
          <w:lang w:val="en-US" w:eastAsia="pl-PL"/>
        </w:rPr>
        <w:t xml:space="preserve">, Journal of Economic Behavior and </w:t>
      </w:r>
      <w:r w:rsidR="00563CDE" w:rsidRPr="00AB5805">
        <w:rPr>
          <w:rFonts w:ascii="Times New Roman" w:eastAsia="Times New Roman" w:hAnsi="Times New Roman" w:cs="Times New Roman"/>
          <w:lang w:val="en-US" w:eastAsia="pl-PL"/>
        </w:rPr>
        <w:t>Organization, vol. 37, p</w:t>
      </w:r>
      <w:r w:rsidRPr="00AB5805">
        <w:rPr>
          <w:rFonts w:ascii="Times New Roman" w:eastAsia="Times New Roman" w:hAnsi="Times New Roman" w:cs="Times New Roman"/>
          <w:lang w:val="en-US" w:eastAsia="pl-PL"/>
        </w:rPr>
        <w:t>. 333–347.</w:t>
      </w:r>
    </w:p>
    <w:p w14:paraId="6DD345CB" w14:textId="77777777" w:rsidR="00733CA7" w:rsidRDefault="00733CA7" w:rsidP="0071390A">
      <w:pPr>
        <w:spacing w:before="0" w:after="0" w:line="360" w:lineRule="auto"/>
        <w:jc w:val="both"/>
        <w:rPr>
          <w:rFonts w:ascii="Times New Roman" w:eastAsia="Times New Roman" w:hAnsi="Times New Roman" w:cs="Times New Roman"/>
          <w:lang w:val="en-US" w:eastAsia="pl-PL"/>
        </w:rPr>
      </w:pPr>
      <w:r w:rsidRPr="00AB5805">
        <w:rPr>
          <w:rFonts w:ascii="Times New Roman" w:eastAsia="Times New Roman" w:hAnsi="Times New Roman" w:cs="Times New Roman"/>
          <w:lang w:val="en-US" w:eastAsia="pl-PL"/>
        </w:rPr>
        <w:t xml:space="preserve">Barber B., Lehavy R., McNichols M., Trueman B. (2001), </w:t>
      </w:r>
      <w:r w:rsidRPr="00AB5805">
        <w:rPr>
          <w:rFonts w:ascii="Times New Roman" w:eastAsia="Times New Roman" w:hAnsi="Times New Roman" w:cs="Times New Roman"/>
          <w:i/>
          <w:lang w:val="en-US" w:eastAsia="pl-PL"/>
        </w:rPr>
        <w:t>Can Investors Profit from the Prophets? Security Analyst Recommendations and Stock Returns</w:t>
      </w:r>
      <w:r w:rsidRPr="00AB5805">
        <w:rPr>
          <w:rFonts w:ascii="Times New Roman" w:eastAsia="Times New Roman" w:hAnsi="Times New Roman" w:cs="Times New Roman"/>
          <w:lang w:val="en-US" w:eastAsia="pl-PL"/>
        </w:rPr>
        <w:t>, The Journ</w:t>
      </w:r>
      <w:r w:rsidR="00563CDE" w:rsidRPr="00AB5805">
        <w:rPr>
          <w:rFonts w:ascii="Times New Roman" w:eastAsia="Times New Roman" w:hAnsi="Times New Roman" w:cs="Times New Roman"/>
          <w:lang w:val="en-US" w:eastAsia="pl-PL"/>
        </w:rPr>
        <w:t>al of Finance, vol. 56, no. 2, p</w:t>
      </w:r>
      <w:r w:rsidRPr="00AB5805">
        <w:rPr>
          <w:rFonts w:ascii="Times New Roman" w:eastAsia="Times New Roman" w:hAnsi="Times New Roman" w:cs="Times New Roman"/>
          <w:lang w:val="en-US" w:eastAsia="pl-PL"/>
        </w:rPr>
        <w:t xml:space="preserve">. 531–563. </w:t>
      </w:r>
    </w:p>
    <w:p w14:paraId="5D297F45" w14:textId="77777777" w:rsidR="00824125" w:rsidRPr="00824125" w:rsidRDefault="00824125" w:rsidP="00824125">
      <w:pPr>
        <w:spacing w:before="0"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Biedrzyński R. (2008), </w:t>
      </w:r>
      <w:r w:rsidRPr="00AA6A7C">
        <w:rPr>
          <w:rFonts w:ascii="Times New Roman" w:eastAsia="Times New Roman" w:hAnsi="Times New Roman" w:cs="Times New Roman"/>
          <w:i/>
          <w:lang w:eastAsia="pl-PL"/>
        </w:rPr>
        <w:t>Wycena w rekomendacjach sporządzanych przez biura maklerskie a cena rynkowa spółek notowanych na Giełdzie Papierów Wartościowych w Warszawie</w:t>
      </w:r>
      <w:r w:rsidRPr="00824125">
        <w:rPr>
          <w:rFonts w:ascii="Times New Roman" w:eastAsia="Times New Roman" w:hAnsi="Times New Roman" w:cs="Times New Roman"/>
          <w:lang w:eastAsia="pl-PL"/>
        </w:rPr>
        <w:t>, praca magist</w:t>
      </w:r>
      <w:r>
        <w:rPr>
          <w:rFonts w:ascii="Times New Roman" w:eastAsia="Times New Roman" w:hAnsi="Times New Roman" w:cs="Times New Roman"/>
          <w:lang w:eastAsia="pl-PL"/>
        </w:rPr>
        <w:t xml:space="preserve">erska, Uniwersytet Ekonomiczny </w:t>
      </w:r>
      <w:r w:rsidRPr="00824125">
        <w:rPr>
          <w:rFonts w:ascii="Times New Roman" w:eastAsia="Times New Roman" w:hAnsi="Times New Roman" w:cs="Times New Roman"/>
          <w:lang w:eastAsia="pl-PL"/>
        </w:rPr>
        <w:t>w Szczecinie, Szczecin</w:t>
      </w:r>
      <w:r>
        <w:rPr>
          <w:rFonts w:ascii="Times New Roman" w:eastAsia="Times New Roman" w:hAnsi="Times New Roman" w:cs="Times New Roman"/>
          <w:lang w:eastAsia="pl-PL"/>
        </w:rPr>
        <w:t>.</w:t>
      </w:r>
    </w:p>
    <w:p w14:paraId="1C046418" w14:textId="77777777" w:rsidR="00733CA7" w:rsidRDefault="00733CA7" w:rsidP="0071390A">
      <w:pPr>
        <w:spacing w:before="0" w:after="0" w:line="360" w:lineRule="auto"/>
        <w:jc w:val="both"/>
        <w:rPr>
          <w:rFonts w:ascii="Times New Roman" w:eastAsia="Times New Roman" w:hAnsi="Times New Roman" w:cs="Times New Roman"/>
          <w:lang w:val="en-US" w:eastAsia="pl-PL"/>
        </w:rPr>
      </w:pPr>
      <w:r w:rsidRPr="00AB5805">
        <w:rPr>
          <w:rFonts w:ascii="Times New Roman" w:eastAsia="Times New Roman" w:hAnsi="Times New Roman" w:cs="Times New Roman"/>
          <w:lang w:val="en-US" w:eastAsia="pl-PL"/>
        </w:rPr>
        <w:t xml:space="preserve">Campenhout, van G., Verhestraeten, J.-F. (2010), </w:t>
      </w:r>
      <w:r w:rsidRPr="00AB5805">
        <w:rPr>
          <w:rFonts w:ascii="Times New Roman" w:eastAsia="Times New Roman" w:hAnsi="Times New Roman" w:cs="Times New Roman"/>
          <w:i/>
          <w:lang w:val="en-US" w:eastAsia="pl-PL"/>
        </w:rPr>
        <w:t>Herding behaviour among financial analyst</w:t>
      </w:r>
      <w:r w:rsidRPr="00AB5805">
        <w:rPr>
          <w:rFonts w:ascii="Times New Roman" w:eastAsia="Times New Roman" w:hAnsi="Times New Roman" w:cs="Times New Roman"/>
          <w:lang w:val="en-US" w:eastAsia="pl-PL"/>
        </w:rPr>
        <w:t>: a literature review, HUB Research Paper no. 39</w:t>
      </w:r>
    </w:p>
    <w:p w14:paraId="6F80A104" w14:textId="77777777" w:rsidR="008751D3" w:rsidRPr="00AB5805" w:rsidRDefault="008751D3" w:rsidP="0071390A">
      <w:pPr>
        <w:spacing w:before="0" w:after="0" w:line="360" w:lineRule="auto"/>
        <w:jc w:val="both"/>
        <w:rPr>
          <w:rFonts w:ascii="Times New Roman" w:eastAsia="Times New Roman" w:hAnsi="Times New Roman" w:cs="Times New Roman"/>
          <w:lang w:val="en-US" w:eastAsia="pl-PL"/>
        </w:rPr>
      </w:pPr>
      <w:r w:rsidRPr="008751D3">
        <w:rPr>
          <w:rFonts w:ascii="Times New Roman" w:eastAsia="Times New Roman" w:hAnsi="Times New Roman" w:cs="Times New Roman"/>
          <w:lang w:val="en-US" w:eastAsia="pl-PL"/>
        </w:rPr>
        <w:t xml:space="preserve">Cowles A. (1933), </w:t>
      </w:r>
      <w:r w:rsidRPr="008751D3">
        <w:rPr>
          <w:rFonts w:ascii="Times New Roman" w:eastAsia="Times New Roman" w:hAnsi="Times New Roman" w:cs="Times New Roman"/>
          <w:i/>
          <w:lang w:val="en-US" w:eastAsia="pl-PL"/>
        </w:rPr>
        <w:t>Can Stock Market Forecasters Forecast?,</w:t>
      </w:r>
      <w:r w:rsidRPr="008751D3">
        <w:rPr>
          <w:rFonts w:ascii="Times New Roman" w:eastAsia="Times New Roman" w:hAnsi="Times New Roman" w:cs="Times New Roman"/>
          <w:lang w:val="en-US" w:eastAsia="pl-PL"/>
        </w:rPr>
        <w:t xml:space="preserve"> </w:t>
      </w:r>
      <w:r>
        <w:rPr>
          <w:rFonts w:ascii="Times New Roman" w:eastAsia="Times New Roman" w:hAnsi="Times New Roman" w:cs="Times New Roman"/>
          <w:lang w:val="en-US" w:eastAsia="pl-PL"/>
        </w:rPr>
        <w:t>Econometrica, vol. 1, issue 3, p</w:t>
      </w:r>
      <w:r w:rsidRPr="008751D3">
        <w:rPr>
          <w:rFonts w:ascii="Times New Roman" w:eastAsia="Times New Roman" w:hAnsi="Times New Roman" w:cs="Times New Roman"/>
          <w:lang w:val="en-US" w:eastAsia="pl-PL"/>
        </w:rPr>
        <w:t xml:space="preserve">. 309–324. </w:t>
      </w:r>
    </w:p>
    <w:p w14:paraId="34AE0E6A" w14:textId="77777777" w:rsidR="00733CA7" w:rsidRPr="003D6C5D" w:rsidRDefault="00733CA7" w:rsidP="0071390A">
      <w:pPr>
        <w:spacing w:before="0" w:after="0" w:line="360" w:lineRule="auto"/>
        <w:jc w:val="both"/>
        <w:rPr>
          <w:rFonts w:ascii="Times New Roman" w:eastAsia="Times New Roman" w:hAnsi="Times New Roman" w:cs="Times New Roman"/>
          <w:lang w:eastAsia="pl-PL"/>
        </w:rPr>
      </w:pPr>
      <w:r w:rsidRPr="001A0CCF">
        <w:rPr>
          <w:rFonts w:ascii="Times New Roman" w:eastAsia="Times New Roman" w:hAnsi="Times New Roman" w:cs="Times New Roman"/>
          <w:lang w:eastAsia="pl-PL"/>
        </w:rPr>
        <w:t xml:space="preserve">Czyżycki R., Klóska R. (2010), </w:t>
      </w:r>
      <w:r w:rsidRPr="001A0CCF">
        <w:rPr>
          <w:rFonts w:ascii="Times New Roman" w:eastAsia="Times New Roman" w:hAnsi="Times New Roman" w:cs="Times New Roman"/>
          <w:i/>
          <w:lang w:eastAsia="pl-PL"/>
        </w:rPr>
        <w:t>Rekomendacje giełdowe jako źródło wiedzy dla inwestora indywidualnego</w:t>
      </w:r>
      <w:r w:rsidRPr="001A0CCF">
        <w:rPr>
          <w:rFonts w:ascii="Times New Roman" w:eastAsia="Times New Roman" w:hAnsi="Times New Roman" w:cs="Times New Roman"/>
          <w:lang w:eastAsia="pl-PL"/>
        </w:rPr>
        <w:t xml:space="preserve">, MEK 2010 Company Processes </w:t>
      </w:r>
      <w:r w:rsidRPr="003D6C5D">
        <w:rPr>
          <w:rFonts w:ascii="Times New Roman" w:eastAsia="Times New Roman" w:hAnsi="Times New Roman" w:cs="Times New Roman"/>
          <w:lang w:eastAsia="pl-PL"/>
        </w:rPr>
        <w:t>and Market Require</w:t>
      </w:r>
      <w:r w:rsidR="000027BB">
        <w:rPr>
          <w:rFonts w:ascii="Times New Roman" w:eastAsia="Times New Roman" w:hAnsi="Times New Roman" w:cs="Times New Roman"/>
          <w:lang w:eastAsia="pl-PL"/>
        </w:rPr>
        <w:t>ments, Hradec Kralove, Czechy, p</w:t>
      </w:r>
      <w:r w:rsidRPr="003D6C5D">
        <w:rPr>
          <w:rFonts w:ascii="Times New Roman" w:eastAsia="Times New Roman" w:hAnsi="Times New Roman" w:cs="Times New Roman"/>
          <w:lang w:eastAsia="pl-PL"/>
        </w:rPr>
        <w:t>. 2371–2378</w:t>
      </w:r>
    </w:p>
    <w:p w14:paraId="146BCB02" w14:textId="77777777" w:rsidR="00733CA7" w:rsidRPr="003D6C5D" w:rsidRDefault="00733CA7" w:rsidP="0071390A">
      <w:pPr>
        <w:spacing w:before="0" w:after="0" w:line="360" w:lineRule="auto"/>
        <w:jc w:val="both"/>
        <w:rPr>
          <w:rFonts w:ascii="Times New Roman" w:eastAsia="Times New Roman" w:hAnsi="Times New Roman" w:cs="Times New Roman"/>
          <w:lang w:eastAsia="pl-PL"/>
        </w:rPr>
      </w:pPr>
      <w:r w:rsidRPr="003D6C5D">
        <w:rPr>
          <w:rFonts w:ascii="Times New Roman" w:eastAsia="Times New Roman" w:hAnsi="Times New Roman" w:cs="Times New Roman"/>
          <w:lang w:eastAsia="pl-PL"/>
        </w:rPr>
        <w:t xml:space="preserve">Dąbrowski P. (2013), </w:t>
      </w:r>
      <w:r w:rsidRPr="003D6C5D">
        <w:rPr>
          <w:rFonts w:ascii="Times New Roman" w:eastAsia="Times New Roman" w:hAnsi="Times New Roman" w:cs="Times New Roman"/>
          <w:i/>
          <w:lang w:eastAsia="pl-PL"/>
        </w:rPr>
        <w:t>Huraoptymizm rekomendacji maklerskich w okresie giełdowej dekoniunktury</w:t>
      </w:r>
      <w:r w:rsidRPr="003D6C5D">
        <w:rPr>
          <w:rFonts w:ascii="Times New Roman" w:eastAsia="Times New Roman" w:hAnsi="Times New Roman" w:cs="Times New Roman"/>
          <w:lang w:eastAsia="pl-PL"/>
        </w:rPr>
        <w:t>, Studia Ekonomiczne nr 174, Wydawnictwo Uniwersytetu Ekonomicznego w Katowicach, Katowice</w:t>
      </w:r>
      <w:r w:rsidR="000027BB">
        <w:rPr>
          <w:rFonts w:ascii="Times New Roman" w:eastAsia="Times New Roman" w:hAnsi="Times New Roman" w:cs="Times New Roman"/>
          <w:lang w:eastAsia="pl-PL"/>
        </w:rPr>
        <w:t>, p</w:t>
      </w:r>
      <w:r w:rsidRPr="003D6C5D">
        <w:rPr>
          <w:rFonts w:ascii="Times New Roman" w:eastAsia="Times New Roman" w:hAnsi="Times New Roman" w:cs="Times New Roman"/>
          <w:lang w:eastAsia="pl-PL"/>
        </w:rPr>
        <w:t>.88-104</w:t>
      </w:r>
    </w:p>
    <w:p w14:paraId="0657BEAF" w14:textId="77777777" w:rsidR="00733CA7" w:rsidRPr="00AB5805" w:rsidRDefault="00733CA7" w:rsidP="0071390A">
      <w:pPr>
        <w:spacing w:before="0" w:after="0" w:line="360" w:lineRule="auto"/>
        <w:jc w:val="both"/>
        <w:rPr>
          <w:rFonts w:ascii="Times New Roman" w:eastAsia="Times New Roman" w:hAnsi="Times New Roman" w:cs="Times New Roman"/>
          <w:lang w:val="en-US" w:eastAsia="pl-PL"/>
        </w:rPr>
      </w:pPr>
      <w:r w:rsidRPr="00AB5805">
        <w:rPr>
          <w:rFonts w:ascii="Times New Roman" w:eastAsia="Times New Roman" w:hAnsi="Times New Roman" w:cs="Times New Roman"/>
          <w:lang w:val="en-US" w:eastAsia="pl-PL"/>
        </w:rPr>
        <w:lastRenderedPageBreak/>
        <w:t xml:space="preserve">Ertimur Y., Zhang F., Muslu V. (2010), </w:t>
      </w:r>
      <w:r w:rsidRPr="00AB5805">
        <w:rPr>
          <w:rFonts w:ascii="Times New Roman" w:eastAsia="Times New Roman" w:hAnsi="Times New Roman" w:cs="Times New Roman"/>
          <w:i/>
          <w:lang w:val="en-US" w:eastAsia="pl-PL"/>
        </w:rPr>
        <w:t>Why Are Recommendations Optimistic? Evidence from Analysts’ Coverage Initiations</w:t>
      </w:r>
      <w:r w:rsidRPr="00AB5805">
        <w:rPr>
          <w:rFonts w:ascii="Times New Roman" w:eastAsia="Times New Roman" w:hAnsi="Times New Roman" w:cs="Times New Roman"/>
          <w:lang w:val="en-US" w:eastAsia="pl-PL"/>
        </w:rPr>
        <w:t>, working paper, SSRN online: http://papers.ssrn.com/sol3/papers.cfm?abstract_id=993563, (dostęp 14.09.2017)</w:t>
      </w:r>
    </w:p>
    <w:p w14:paraId="6F3AE077" w14:textId="77777777" w:rsidR="00747D78" w:rsidRPr="00AB5805" w:rsidRDefault="0093713C" w:rsidP="0071390A">
      <w:pPr>
        <w:spacing w:before="0" w:after="0" w:line="360" w:lineRule="auto"/>
        <w:jc w:val="both"/>
        <w:rPr>
          <w:rFonts w:ascii="Times New Roman" w:eastAsia="Times New Roman" w:hAnsi="Times New Roman" w:cs="Times New Roman"/>
          <w:lang w:val="en-US" w:eastAsia="pl-PL"/>
        </w:rPr>
      </w:pPr>
      <w:r w:rsidRPr="00AB5805">
        <w:rPr>
          <w:rFonts w:ascii="Times New Roman" w:eastAsia="Times New Roman" w:hAnsi="Times New Roman" w:cs="Times New Roman"/>
          <w:lang w:val="en-US" w:eastAsia="pl-PL"/>
        </w:rPr>
        <w:t>Fama E.F.</w:t>
      </w:r>
      <w:r w:rsidR="00D8547B" w:rsidRPr="00AB5805">
        <w:rPr>
          <w:rFonts w:ascii="Times New Roman" w:eastAsia="Times New Roman" w:hAnsi="Times New Roman" w:cs="Times New Roman"/>
          <w:lang w:val="en-US" w:eastAsia="pl-PL"/>
        </w:rPr>
        <w:t xml:space="preserve"> (1998), </w:t>
      </w:r>
      <w:r w:rsidR="00D8547B" w:rsidRPr="00AB5805">
        <w:rPr>
          <w:rFonts w:ascii="Times New Roman" w:eastAsia="Times New Roman" w:hAnsi="Times New Roman" w:cs="Times New Roman"/>
          <w:i/>
          <w:lang w:val="en-US" w:eastAsia="pl-PL"/>
        </w:rPr>
        <w:t>Market efficiency, long-term returns</w:t>
      </w:r>
      <w:r w:rsidR="00812947" w:rsidRPr="00AB5805">
        <w:rPr>
          <w:rFonts w:ascii="Times New Roman" w:eastAsia="Times New Roman" w:hAnsi="Times New Roman" w:cs="Times New Roman"/>
          <w:i/>
          <w:lang w:val="en-US" w:eastAsia="pl-PL"/>
        </w:rPr>
        <w:t xml:space="preserve"> and behavioral finance,</w:t>
      </w:r>
      <w:r w:rsidR="00752075" w:rsidRPr="00AB5805">
        <w:rPr>
          <w:rFonts w:ascii="Times New Roman" w:eastAsia="Times New Roman" w:hAnsi="Times New Roman" w:cs="Times New Roman"/>
          <w:lang w:val="en-US" w:eastAsia="pl-PL"/>
        </w:rPr>
        <w:t xml:space="preserve"> Journal of Financial Economics,</w:t>
      </w:r>
      <w:r w:rsidR="008024E0" w:rsidRPr="00AB5805">
        <w:rPr>
          <w:rFonts w:ascii="Times New Roman" w:eastAsia="Times New Roman" w:hAnsi="Times New Roman" w:cs="Times New Roman"/>
          <w:lang w:val="en-US" w:eastAsia="pl-PL"/>
        </w:rPr>
        <w:t xml:space="preserve"> vol. 49, issue 3, p</w:t>
      </w:r>
      <w:r w:rsidR="00AB7FDA" w:rsidRPr="00AB5805">
        <w:rPr>
          <w:rFonts w:ascii="Times New Roman" w:eastAsia="Times New Roman" w:hAnsi="Times New Roman" w:cs="Times New Roman"/>
          <w:lang w:val="en-US" w:eastAsia="pl-PL"/>
        </w:rPr>
        <w:t>. 283-306.</w:t>
      </w:r>
    </w:p>
    <w:p w14:paraId="40C22B78" w14:textId="77777777" w:rsidR="00F978DD" w:rsidRPr="00AB5805" w:rsidRDefault="00F978DD" w:rsidP="0071390A">
      <w:pPr>
        <w:spacing w:before="0" w:after="0" w:line="360" w:lineRule="auto"/>
        <w:jc w:val="both"/>
        <w:rPr>
          <w:rFonts w:ascii="Times New Roman" w:eastAsia="Times New Roman" w:hAnsi="Times New Roman" w:cs="Times New Roman"/>
          <w:lang w:val="en-US" w:eastAsia="pl-PL"/>
        </w:rPr>
      </w:pPr>
      <w:r w:rsidRPr="00AB5805">
        <w:rPr>
          <w:rFonts w:ascii="Times New Roman" w:eastAsia="Times New Roman" w:hAnsi="Times New Roman" w:cs="Times New Roman"/>
          <w:lang w:val="en-US" w:eastAsia="pl-PL"/>
        </w:rPr>
        <w:t>Gu</w:t>
      </w:r>
      <w:r w:rsidR="006A57C6" w:rsidRPr="00AB5805">
        <w:rPr>
          <w:rFonts w:ascii="Times New Roman" w:eastAsia="Times New Roman" w:hAnsi="Times New Roman" w:cs="Times New Roman"/>
          <w:lang w:val="en-US" w:eastAsia="pl-PL"/>
        </w:rPr>
        <w:t xml:space="preserve"> B.</w:t>
      </w:r>
      <w:r w:rsidRPr="00AB5805">
        <w:rPr>
          <w:rFonts w:ascii="Times New Roman" w:eastAsia="Times New Roman" w:hAnsi="Times New Roman" w:cs="Times New Roman"/>
          <w:lang w:val="en-US" w:eastAsia="pl-PL"/>
        </w:rPr>
        <w:t>, Konana P., Kumar</w:t>
      </w:r>
      <w:r w:rsidR="007C2A3C" w:rsidRPr="00AB5805">
        <w:rPr>
          <w:rFonts w:ascii="Times New Roman" w:eastAsia="Times New Roman" w:hAnsi="Times New Roman" w:cs="Times New Roman"/>
          <w:lang w:val="en-US" w:eastAsia="pl-PL"/>
        </w:rPr>
        <w:t xml:space="preserve"> A.</w:t>
      </w:r>
      <w:r w:rsidRPr="00AB5805">
        <w:rPr>
          <w:rFonts w:ascii="Times New Roman" w:eastAsia="Times New Roman" w:hAnsi="Times New Roman" w:cs="Times New Roman"/>
          <w:lang w:val="en-US" w:eastAsia="pl-PL"/>
        </w:rPr>
        <w:t>, Park J., Raghunathan</w:t>
      </w:r>
      <w:r w:rsidR="007C2A3C" w:rsidRPr="00AB5805">
        <w:rPr>
          <w:rFonts w:ascii="Times New Roman" w:eastAsia="Times New Roman" w:hAnsi="Times New Roman" w:cs="Times New Roman"/>
          <w:lang w:val="en-US" w:eastAsia="pl-PL"/>
        </w:rPr>
        <w:t xml:space="preserve"> R.</w:t>
      </w:r>
      <w:r w:rsidRPr="00AB5805">
        <w:rPr>
          <w:rFonts w:ascii="Times New Roman" w:eastAsia="Times New Roman" w:hAnsi="Times New Roman" w:cs="Times New Roman"/>
          <w:lang w:val="en-US" w:eastAsia="pl-PL"/>
        </w:rPr>
        <w:t xml:space="preserve"> (2013</w:t>
      </w:r>
      <w:r w:rsidRPr="00AB5805">
        <w:rPr>
          <w:rFonts w:ascii="Times New Roman" w:eastAsia="Times New Roman" w:hAnsi="Times New Roman" w:cs="Times New Roman"/>
          <w:i/>
          <w:lang w:val="en-US" w:eastAsia="pl-PL"/>
        </w:rPr>
        <w:t>)</w:t>
      </w:r>
      <w:r w:rsidR="0068594D" w:rsidRPr="00AB5805">
        <w:rPr>
          <w:rFonts w:ascii="Times New Roman" w:eastAsia="Times New Roman" w:hAnsi="Times New Roman" w:cs="Times New Roman"/>
          <w:i/>
          <w:lang w:val="en-US" w:eastAsia="pl-PL"/>
        </w:rPr>
        <w:t xml:space="preserve">, </w:t>
      </w:r>
      <w:r w:rsidR="00225566" w:rsidRPr="00AB5805">
        <w:rPr>
          <w:rFonts w:ascii="Times New Roman" w:eastAsia="Times New Roman" w:hAnsi="Times New Roman" w:cs="Times New Roman"/>
          <w:i/>
          <w:lang w:val="en-US" w:eastAsia="pl-PL"/>
        </w:rPr>
        <w:t>Information Valuation and Confirmation Bias in Virtual Communities: Evidence form Stock Message Board,</w:t>
      </w:r>
      <w:r w:rsidR="00493C33" w:rsidRPr="00AB5805">
        <w:rPr>
          <w:rFonts w:ascii="Times New Roman" w:eastAsia="Times New Roman" w:hAnsi="Times New Roman" w:cs="Times New Roman"/>
          <w:i/>
          <w:lang w:val="en-US" w:eastAsia="pl-PL"/>
        </w:rPr>
        <w:t xml:space="preserve"> </w:t>
      </w:r>
      <w:hyperlink r:id="rId9" w:history="1">
        <w:r w:rsidR="00BE4A93" w:rsidRPr="00AB5805">
          <w:rPr>
            <w:rStyle w:val="Hipercze"/>
            <w:rFonts w:ascii="Times New Roman" w:eastAsia="Times New Roman" w:hAnsi="Times New Roman" w:cs="Times New Roman"/>
            <w:color w:val="auto"/>
            <w:u w:val="none"/>
            <w:lang w:val="en-US" w:eastAsia="pl-PL"/>
          </w:rPr>
          <w:t>https://doi.org/10.1287/isre.2013.0492</w:t>
        </w:r>
      </w:hyperlink>
      <w:r w:rsidR="00106BEE" w:rsidRPr="00AB5805">
        <w:rPr>
          <w:rFonts w:ascii="Times New Roman" w:eastAsia="Times New Roman" w:hAnsi="Times New Roman" w:cs="Times New Roman"/>
          <w:lang w:val="en-US" w:eastAsia="pl-PL"/>
        </w:rPr>
        <w:t>, p</w:t>
      </w:r>
      <w:r w:rsidR="00BE4A93" w:rsidRPr="00AB5805">
        <w:rPr>
          <w:rFonts w:ascii="Times New Roman" w:eastAsia="Times New Roman" w:hAnsi="Times New Roman" w:cs="Times New Roman"/>
          <w:lang w:val="en-US" w:eastAsia="pl-PL"/>
        </w:rPr>
        <w:t>.1050-1067, (dostęp: 29.10.2017).</w:t>
      </w:r>
    </w:p>
    <w:p w14:paraId="740A6658" w14:textId="77777777" w:rsidR="00733CA7" w:rsidRPr="00AB5805" w:rsidRDefault="00733CA7" w:rsidP="0071390A">
      <w:pPr>
        <w:spacing w:before="0" w:after="0" w:line="360" w:lineRule="auto"/>
        <w:jc w:val="both"/>
        <w:rPr>
          <w:rFonts w:ascii="Times New Roman" w:eastAsia="Times New Roman" w:hAnsi="Times New Roman" w:cs="Times New Roman"/>
          <w:lang w:val="en-US" w:eastAsia="pl-PL"/>
        </w:rPr>
      </w:pPr>
      <w:r w:rsidRPr="003D6C5D">
        <w:rPr>
          <w:rFonts w:ascii="Times New Roman" w:hAnsi="Times New Roman" w:cs="Times New Roman"/>
          <w:lang w:val="en-US" w:eastAsia="de-DE"/>
        </w:rPr>
        <w:t>James S. (2012)</w:t>
      </w:r>
      <w:r w:rsidRPr="003D6C5D">
        <w:rPr>
          <w:rFonts w:ascii="Times New Roman" w:hAnsi="Times New Roman" w:cs="Times New Roman"/>
          <w:i/>
          <w:lang w:val="en-US" w:eastAsia="de-DE"/>
        </w:rPr>
        <w:t>, A Dictionary of Taxation, Second</w:t>
      </w:r>
      <w:r w:rsidRPr="003D6C5D">
        <w:rPr>
          <w:rFonts w:ascii="Times New Roman" w:hAnsi="Times New Roman" w:cs="Times New Roman"/>
          <w:lang w:val="en-US" w:eastAsia="de-DE"/>
        </w:rPr>
        <w:t xml:space="preserve"> </w:t>
      </w:r>
      <w:r w:rsidRPr="003D6C5D">
        <w:rPr>
          <w:rFonts w:ascii="Times New Roman" w:hAnsi="Times New Roman" w:cs="Times New Roman"/>
          <w:i/>
          <w:lang w:val="en-US" w:eastAsia="de-DE"/>
        </w:rPr>
        <w:t xml:space="preserve">Edition, </w:t>
      </w:r>
      <w:r w:rsidRPr="003D6C5D">
        <w:rPr>
          <w:rFonts w:ascii="Times New Roman" w:hAnsi="Times New Roman" w:cs="Times New Roman"/>
          <w:lang w:val="en-US" w:eastAsia="de-DE"/>
        </w:rPr>
        <w:t>Edward Elgar Publishing, Cheltenham, UK.</w:t>
      </w:r>
    </w:p>
    <w:p w14:paraId="4E05304F" w14:textId="77777777" w:rsidR="00733CA7" w:rsidRPr="003D6C5D" w:rsidRDefault="00733CA7" w:rsidP="0071390A">
      <w:pPr>
        <w:spacing w:before="0" w:after="0" w:line="360" w:lineRule="auto"/>
        <w:jc w:val="both"/>
        <w:rPr>
          <w:rFonts w:ascii="Times New Roman" w:eastAsia="Times New Roman" w:hAnsi="Times New Roman" w:cs="Times New Roman"/>
          <w:lang w:eastAsia="pl-PL"/>
        </w:rPr>
      </w:pPr>
      <w:r w:rsidRPr="003D6C5D">
        <w:rPr>
          <w:rFonts w:ascii="Times New Roman" w:eastAsia="Times New Roman" w:hAnsi="Times New Roman" w:cs="Times New Roman"/>
          <w:lang w:eastAsia="pl-PL"/>
        </w:rPr>
        <w:t xml:space="preserve">Jarno K. (2017), </w:t>
      </w:r>
      <w:r w:rsidRPr="003D6C5D">
        <w:rPr>
          <w:rFonts w:ascii="Times New Roman" w:eastAsia="Times New Roman" w:hAnsi="Times New Roman" w:cs="Times New Roman"/>
          <w:i/>
          <w:lang w:eastAsia="pl-PL"/>
        </w:rPr>
        <w:t>Efektywność tarczy podatkowej z dochodów kapitałowych z wykorzystaniem metody realizacji strat papierowych w portfelu inwestycyjnym inwestorów indywidualnych</w:t>
      </w:r>
      <w:r w:rsidRPr="003D6C5D">
        <w:rPr>
          <w:rFonts w:ascii="Times New Roman" w:eastAsia="Times New Roman" w:hAnsi="Times New Roman" w:cs="Times New Roman"/>
          <w:lang w:eastAsia="pl-PL"/>
        </w:rPr>
        <w:t xml:space="preserve">, Nauki o Finansach </w:t>
      </w:r>
      <w:r w:rsidRPr="003D6C5D">
        <w:rPr>
          <w:rFonts w:ascii="Times New Roman" w:eastAsia="Times New Roman" w:hAnsi="Times New Roman" w:cs="Times New Roman"/>
          <w:lang w:eastAsia="pl-PL"/>
        </w:rPr>
        <w:br/>
        <w:t>nr 3/2017, Wydawnictwo Uniwersytetu Ekon</w:t>
      </w:r>
      <w:r w:rsidR="009846CA">
        <w:rPr>
          <w:rFonts w:ascii="Times New Roman" w:eastAsia="Times New Roman" w:hAnsi="Times New Roman" w:cs="Times New Roman"/>
          <w:lang w:eastAsia="pl-PL"/>
        </w:rPr>
        <w:t>omicznego we Wrocławiu, Wrocław</w:t>
      </w:r>
      <w:r w:rsidRPr="003D6C5D">
        <w:rPr>
          <w:rFonts w:ascii="Times New Roman" w:eastAsia="Times New Roman" w:hAnsi="Times New Roman" w:cs="Times New Roman"/>
          <w:lang w:eastAsia="pl-PL"/>
        </w:rPr>
        <w:t>.</w:t>
      </w:r>
    </w:p>
    <w:p w14:paraId="381B27BB" w14:textId="77777777" w:rsidR="00733CA7" w:rsidRPr="00AB5805" w:rsidRDefault="00733CA7" w:rsidP="0071390A">
      <w:pPr>
        <w:spacing w:before="0" w:after="0" w:line="360" w:lineRule="auto"/>
        <w:jc w:val="both"/>
        <w:rPr>
          <w:rFonts w:ascii="Times New Roman" w:eastAsia="Times New Roman" w:hAnsi="Times New Roman" w:cs="Times New Roman"/>
          <w:lang w:val="en-US" w:eastAsia="pl-PL"/>
        </w:rPr>
      </w:pPr>
      <w:r w:rsidRPr="00AB5805">
        <w:rPr>
          <w:rFonts w:ascii="Times New Roman" w:eastAsia="Times New Roman" w:hAnsi="Times New Roman" w:cs="Times New Roman"/>
          <w:lang w:val="en-US" w:eastAsia="pl-PL"/>
        </w:rPr>
        <w:t>Loh R.K., Mian G.M. (2006</w:t>
      </w:r>
      <w:r w:rsidRPr="00AB5805">
        <w:rPr>
          <w:rFonts w:ascii="Times New Roman" w:eastAsia="Times New Roman" w:hAnsi="Times New Roman" w:cs="Times New Roman"/>
          <w:i/>
          <w:lang w:val="en-US" w:eastAsia="pl-PL"/>
        </w:rPr>
        <w:t>), Do Accurate Earnings Forecasts Facilitate Superior Investment Recommendations?,</w:t>
      </w:r>
      <w:r w:rsidRPr="00AB5805">
        <w:rPr>
          <w:rFonts w:ascii="Times New Roman" w:eastAsia="Times New Roman" w:hAnsi="Times New Roman" w:cs="Times New Roman"/>
          <w:lang w:val="en-US" w:eastAsia="pl-PL"/>
        </w:rPr>
        <w:t xml:space="preserve"> „Journal of Financi</w:t>
      </w:r>
      <w:r w:rsidR="00DE2E79" w:rsidRPr="00AB5805">
        <w:rPr>
          <w:rFonts w:ascii="Times New Roman" w:eastAsia="Times New Roman" w:hAnsi="Times New Roman" w:cs="Times New Roman"/>
          <w:lang w:val="en-US" w:eastAsia="pl-PL"/>
        </w:rPr>
        <w:t>al Economics”, vol. 80, no. 2, p</w:t>
      </w:r>
      <w:r w:rsidRPr="00AB5805">
        <w:rPr>
          <w:rFonts w:ascii="Times New Roman" w:eastAsia="Times New Roman" w:hAnsi="Times New Roman" w:cs="Times New Roman"/>
          <w:lang w:val="en-US" w:eastAsia="pl-PL"/>
        </w:rPr>
        <w:t>. 455–483.</w:t>
      </w:r>
    </w:p>
    <w:p w14:paraId="04D01365" w14:textId="77777777" w:rsidR="00733CA7" w:rsidRPr="00AB5805" w:rsidRDefault="00733CA7" w:rsidP="0071390A">
      <w:pPr>
        <w:spacing w:before="0" w:after="0" w:line="360" w:lineRule="auto"/>
        <w:jc w:val="both"/>
        <w:rPr>
          <w:rFonts w:ascii="Times New Roman" w:eastAsia="Times New Roman" w:hAnsi="Times New Roman" w:cs="Times New Roman"/>
          <w:lang w:val="en-US" w:eastAsia="pl-PL"/>
        </w:rPr>
      </w:pPr>
      <w:r w:rsidRPr="00AB5805">
        <w:rPr>
          <w:rFonts w:ascii="Times New Roman" w:eastAsia="Times New Roman" w:hAnsi="Times New Roman" w:cs="Times New Roman"/>
          <w:lang w:val="en-US" w:eastAsia="pl-PL"/>
        </w:rPr>
        <w:t xml:space="preserve">Marsden A., VeeraraghavanM., Ye M. (2008), </w:t>
      </w:r>
      <w:r w:rsidRPr="00AB5805">
        <w:rPr>
          <w:rFonts w:ascii="Times New Roman" w:eastAsia="Times New Roman" w:hAnsi="Times New Roman" w:cs="Times New Roman"/>
          <w:i/>
          <w:lang w:val="en-US" w:eastAsia="pl-PL"/>
        </w:rPr>
        <w:t>Heuristics of representativeness, anchoring and adjustment, and leniency: impact on earnings’ forecasts by Australian analysts</w:t>
      </w:r>
      <w:r w:rsidRPr="00AB5805">
        <w:rPr>
          <w:rFonts w:ascii="Times New Roman" w:eastAsia="Times New Roman" w:hAnsi="Times New Roman" w:cs="Times New Roman"/>
          <w:lang w:val="en-US" w:eastAsia="pl-PL"/>
        </w:rPr>
        <w:t>, „Quarterly Journal of Finance an</w:t>
      </w:r>
      <w:r w:rsidR="0063773F" w:rsidRPr="00AB5805">
        <w:rPr>
          <w:rFonts w:ascii="Times New Roman" w:eastAsia="Times New Roman" w:hAnsi="Times New Roman" w:cs="Times New Roman"/>
          <w:lang w:val="en-US" w:eastAsia="pl-PL"/>
        </w:rPr>
        <w:t>d Accounting”, vol. 47, no. 2, p</w:t>
      </w:r>
      <w:r w:rsidRPr="00AB5805">
        <w:rPr>
          <w:rFonts w:ascii="Times New Roman" w:eastAsia="Times New Roman" w:hAnsi="Times New Roman" w:cs="Times New Roman"/>
          <w:lang w:val="en-US" w:eastAsia="pl-PL"/>
        </w:rPr>
        <w:t>. 83–102</w:t>
      </w:r>
      <w:r w:rsidR="007F4FFD" w:rsidRPr="00AB5805">
        <w:rPr>
          <w:rFonts w:ascii="Times New Roman" w:eastAsia="Times New Roman" w:hAnsi="Times New Roman" w:cs="Times New Roman"/>
          <w:lang w:val="en-US" w:eastAsia="pl-PL"/>
        </w:rPr>
        <w:t>.</w:t>
      </w:r>
    </w:p>
    <w:p w14:paraId="3D84B0BB" w14:textId="77777777" w:rsidR="00733CA7" w:rsidRPr="00AB5805" w:rsidRDefault="00733CA7" w:rsidP="0071390A">
      <w:pPr>
        <w:spacing w:before="0" w:after="0" w:line="360" w:lineRule="auto"/>
        <w:jc w:val="both"/>
        <w:rPr>
          <w:rFonts w:ascii="Times New Roman" w:eastAsia="Times New Roman" w:hAnsi="Times New Roman" w:cs="Times New Roman"/>
          <w:lang w:val="en-US" w:eastAsia="pl-PL"/>
        </w:rPr>
      </w:pPr>
      <w:r w:rsidRPr="00AB5805">
        <w:rPr>
          <w:rFonts w:ascii="Times New Roman" w:eastAsia="Times New Roman" w:hAnsi="Times New Roman" w:cs="Times New Roman"/>
          <w:lang w:val="en-US" w:eastAsia="pl-PL"/>
        </w:rPr>
        <w:t xml:space="preserve">Papakroni J. (2012), </w:t>
      </w:r>
      <w:r w:rsidRPr="00AB5805">
        <w:rPr>
          <w:rFonts w:ascii="Times New Roman" w:eastAsia="Times New Roman" w:hAnsi="Times New Roman" w:cs="Times New Roman"/>
          <w:i/>
          <w:lang w:val="en-US" w:eastAsia="pl-PL"/>
        </w:rPr>
        <w:t>The dispersion anomaly and analyst recommendations</w:t>
      </w:r>
      <w:r w:rsidRPr="00AB5805">
        <w:rPr>
          <w:rFonts w:ascii="Times New Roman" w:eastAsia="Times New Roman" w:hAnsi="Times New Roman" w:cs="Times New Roman"/>
          <w:lang w:val="en-US" w:eastAsia="pl-PL"/>
        </w:rPr>
        <w:t>, working paper: www.be.wvu.edu/phd_economics/cvs/Papakroni_Jobmarket.pdf, (dostęp: 14.09.2017)</w:t>
      </w:r>
      <w:r w:rsidR="007F4FFD" w:rsidRPr="00AB5805">
        <w:rPr>
          <w:rFonts w:ascii="Times New Roman" w:eastAsia="Times New Roman" w:hAnsi="Times New Roman" w:cs="Times New Roman"/>
          <w:lang w:val="en-US" w:eastAsia="pl-PL"/>
        </w:rPr>
        <w:t>.</w:t>
      </w:r>
    </w:p>
    <w:p w14:paraId="267CC1C3" w14:textId="77777777" w:rsidR="00733CA7" w:rsidRPr="003D6C5D" w:rsidRDefault="00733CA7" w:rsidP="0071390A">
      <w:pPr>
        <w:spacing w:before="0" w:after="0" w:line="360" w:lineRule="auto"/>
        <w:jc w:val="both"/>
        <w:rPr>
          <w:rFonts w:ascii="Times New Roman" w:hAnsi="Times New Roman" w:cs="Times New Roman"/>
        </w:rPr>
      </w:pPr>
      <w:r w:rsidRPr="003D6C5D">
        <w:rPr>
          <w:rFonts w:ascii="Times New Roman" w:hAnsi="Times New Roman" w:cs="Times New Roman"/>
        </w:rPr>
        <w:t xml:space="preserve">Pogoński M. (2012), </w:t>
      </w:r>
      <w:r w:rsidRPr="003D6C5D">
        <w:rPr>
          <w:rFonts w:ascii="Times New Roman" w:hAnsi="Times New Roman" w:cs="Times New Roman"/>
          <w:i/>
        </w:rPr>
        <w:t>Podatek od zysków kapitałowych - giełda, odsetki, dywidendy, fundusze, ike oraz inne przychody kapitałowe</w:t>
      </w:r>
      <w:r w:rsidRPr="003D6C5D">
        <w:rPr>
          <w:rFonts w:ascii="Times New Roman" w:hAnsi="Times New Roman" w:cs="Times New Roman"/>
        </w:rPr>
        <w:t>, Oficyna Wydawnicza „UNIMEX”, Wrocław.</w:t>
      </w:r>
    </w:p>
    <w:p w14:paraId="1B2228CA" w14:textId="77777777" w:rsidR="00733CA7" w:rsidRDefault="00733CA7" w:rsidP="0071390A">
      <w:pPr>
        <w:spacing w:before="0" w:after="0" w:line="360" w:lineRule="auto"/>
        <w:jc w:val="both"/>
        <w:rPr>
          <w:rFonts w:ascii="Times New Roman" w:hAnsi="Times New Roman" w:cs="Times New Roman"/>
        </w:rPr>
      </w:pPr>
      <w:r w:rsidRPr="003D6C5D">
        <w:rPr>
          <w:rFonts w:ascii="Times New Roman" w:hAnsi="Times New Roman" w:cs="Times New Roman"/>
        </w:rPr>
        <w:t xml:space="preserve">Rozporządzenie Ministra Finansów (2005), </w:t>
      </w:r>
      <w:r w:rsidRPr="003D6C5D">
        <w:rPr>
          <w:rFonts w:ascii="Times New Roman" w:hAnsi="Times New Roman" w:cs="Times New Roman"/>
          <w:i/>
        </w:rPr>
        <w:t>W sprawie informacji stanowiących rekomendacje dotyczące instrumentów finansowych, ich emitentów lub wystawców</w:t>
      </w:r>
      <w:r w:rsidRPr="003D6C5D">
        <w:rPr>
          <w:rFonts w:ascii="Times New Roman" w:hAnsi="Times New Roman" w:cs="Times New Roman"/>
        </w:rPr>
        <w:t>, § 3.</w:t>
      </w:r>
    </w:p>
    <w:p w14:paraId="088383C9" w14:textId="77777777" w:rsidR="000E3AFE" w:rsidRPr="00AB5805" w:rsidRDefault="000E3AFE" w:rsidP="0071390A">
      <w:pPr>
        <w:spacing w:before="0" w:after="0" w:line="360" w:lineRule="auto"/>
        <w:jc w:val="both"/>
        <w:rPr>
          <w:rFonts w:ascii="Times New Roman" w:hAnsi="Times New Roman" w:cs="Times New Roman"/>
          <w:lang w:val="en-US"/>
        </w:rPr>
      </w:pPr>
      <w:r w:rsidRPr="00AB5805">
        <w:rPr>
          <w:rFonts w:ascii="Times New Roman" w:hAnsi="Times New Roman" w:cs="Times New Roman"/>
          <w:lang w:val="en-US"/>
        </w:rPr>
        <w:t>Singh S. (2012)</w:t>
      </w:r>
      <w:r w:rsidR="00543A07" w:rsidRPr="00AB5805">
        <w:rPr>
          <w:rFonts w:ascii="Times New Roman" w:hAnsi="Times New Roman" w:cs="Times New Roman"/>
          <w:lang w:val="en-US"/>
        </w:rPr>
        <w:t xml:space="preserve">, </w:t>
      </w:r>
      <w:r w:rsidR="00543A07" w:rsidRPr="00AB5805">
        <w:rPr>
          <w:rFonts w:ascii="Times New Roman" w:hAnsi="Times New Roman" w:cs="Times New Roman"/>
          <w:i/>
          <w:lang w:val="en-US"/>
        </w:rPr>
        <w:t>Investor Irrationality and Self-Defeating Behavior: Insights from Behavioral Finance</w:t>
      </w:r>
      <w:r w:rsidR="001C306F" w:rsidRPr="00AB5805">
        <w:rPr>
          <w:rFonts w:ascii="Times New Roman" w:hAnsi="Times New Roman" w:cs="Times New Roman"/>
          <w:i/>
          <w:lang w:val="en-US"/>
        </w:rPr>
        <w:t>,</w:t>
      </w:r>
    </w:p>
    <w:p w14:paraId="3863648D" w14:textId="77777777" w:rsidR="000D3860" w:rsidRPr="00AB5805" w:rsidRDefault="000D3860" w:rsidP="0071390A">
      <w:pPr>
        <w:spacing w:before="0" w:after="0" w:line="360" w:lineRule="auto"/>
        <w:jc w:val="both"/>
        <w:rPr>
          <w:rFonts w:ascii="Times New Roman" w:hAnsi="Times New Roman" w:cs="Times New Roman"/>
          <w:lang w:val="en-US"/>
        </w:rPr>
      </w:pPr>
      <w:r w:rsidRPr="00AB5805">
        <w:rPr>
          <w:rFonts w:ascii="Times New Roman" w:hAnsi="Times New Roman" w:cs="Times New Roman"/>
          <w:lang w:val="en-US"/>
        </w:rPr>
        <w:t>Journal of Global Business Management; Beavert</w:t>
      </w:r>
      <w:r w:rsidR="0063773F" w:rsidRPr="00AB5805">
        <w:rPr>
          <w:rFonts w:ascii="Times New Roman" w:hAnsi="Times New Roman" w:cs="Times New Roman"/>
          <w:lang w:val="en-US"/>
        </w:rPr>
        <w:t>on Vol. 8, Iss. 1, p</w:t>
      </w:r>
      <w:r w:rsidRPr="00AB5805">
        <w:rPr>
          <w:rFonts w:ascii="Times New Roman" w:hAnsi="Times New Roman" w:cs="Times New Roman"/>
          <w:lang w:val="en-US"/>
        </w:rPr>
        <w:t>. 116-122.</w:t>
      </w:r>
    </w:p>
    <w:p w14:paraId="58154758" w14:textId="77777777" w:rsidR="00733CA7" w:rsidRDefault="00733CA7" w:rsidP="0071390A">
      <w:pPr>
        <w:spacing w:before="0" w:after="0" w:line="360" w:lineRule="auto"/>
        <w:jc w:val="both"/>
        <w:rPr>
          <w:rFonts w:ascii="Times New Roman" w:hAnsi="Times New Roman" w:cs="Times New Roman"/>
          <w:sz w:val="18"/>
          <w:szCs w:val="18"/>
          <w:lang w:eastAsia="de-DE"/>
        </w:rPr>
      </w:pPr>
      <w:r w:rsidRPr="00AB5805">
        <w:rPr>
          <w:rFonts w:ascii="Times New Roman" w:hAnsi="Times New Roman" w:cs="Times New Roman"/>
          <w:sz w:val="18"/>
          <w:szCs w:val="18"/>
          <w:lang w:eastAsia="de-DE"/>
        </w:rPr>
        <w:t>USTAWA z dnia 21 listopada 2001 r</w:t>
      </w:r>
      <w:r w:rsidRPr="00AB5805">
        <w:rPr>
          <w:rFonts w:ascii="Times New Roman" w:hAnsi="Times New Roman" w:cs="Times New Roman"/>
          <w:i/>
          <w:sz w:val="18"/>
          <w:szCs w:val="18"/>
          <w:lang w:eastAsia="de-DE"/>
        </w:rPr>
        <w:t>. O zmianie ustawy o podatku dochodowym od osób fizycznych oraz ustawy o zryczałtowanym podatku dochodowym od niektórych przychodów osiąganych przez osoby fizyczne</w:t>
      </w:r>
      <w:r w:rsidRPr="00AB5805">
        <w:rPr>
          <w:rFonts w:ascii="Times New Roman" w:hAnsi="Times New Roman" w:cs="Times New Roman"/>
          <w:sz w:val="18"/>
          <w:szCs w:val="18"/>
          <w:lang w:eastAsia="de-DE"/>
        </w:rPr>
        <w:t>,</w:t>
      </w:r>
      <w:r w:rsidRPr="00AB5805">
        <w:rPr>
          <w:rFonts w:ascii="Calibri" w:hAnsi="Calibri"/>
          <w:lang w:eastAsia="de-DE"/>
        </w:rPr>
        <w:t xml:space="preserve"> </w:t>
      </w:r>
      <w:r w:rsidRPr="00AB5805">
        <w:rPr>
          <w:rFonts w:ascii="Times New Roman" w:hAnsi="Times New Roman" w:cs="Times New Roman"/>
          <w:sz w:val="18"/>
          <w:szCs w:val="18"/>
          <w:lang w:eastAsia="de-DE"/>
        </w:rPr>
        <w:t>Dz.U. 2001 nr.134 poz. 1509.</w:t>
      </w:r>
    </w:p>
    <w:p w14:paraId="435ED7CE" w14:textId="77777777" w:rsidR="00642DC8" w:rsidRPr="00A25434" w:rsidRDefault="00642DC8" w:rsidP="0071390A">
      <w:pPr>
        <w:spacing w:before="0" w:after="0" w:line="360" w:lineRule="auto"/>
        <w:jc w:val="both"/>
        <w:rPr>
          <w:rFonts w:ascii="Times New Roman" w:hAnsi="Times New Roman" w:cs="Times New Roman"/>
          <w:lang w:val="en-US" w:eastAsia="de-DE"/>
        </w:rPr>
      </w:pPr>
      <w:r w:rsidRPr="00A25434">
        <w:rPr>
          <w:rFonts w:ascii="Times New Roman" w:hAnsi="Times New Roman" w:cs="Times New Roman"/>
          <w:lang w:val="en-US" w:eastAsia="de-DE"/>
        </w:rPr>
        <w:t>Womack, K.L. (1996</w:t>
      </w:r>
      <w:r w:rsidRPr="00A25434">
        <w:rPr>
          <w:rFonts w:ascii="Times New Roman" w:hAnsi="Times New Roman" w:cs="Times New Roman"/>
          <w:i/>
          <w:lang w:val="en-US" w:eastAsia="de-DE"/>
        </w:rPr>
        <w:t>), Do Brokerage Analysts’ Recommendations Have Investment Value?</w:t>
      </w:r>
      <w:r w:rsidRPr="00A25434">
        <w:rPr>
          <w:rFonts w:ascii="Times New Roman" w:hAnsi="Times New Roman" w:cs="Times New Roman"/>
          <w:lang w:val="en-US" w:eastAsia="de-DE"/>
        </w:rPr>
        <w:t>, „Journal of Finance”, p. 137–167.</w:t>
      </w:r>
    </w:p>
    <w:p w14:paraId="2889D5B3" w14:textId="77777777" w:rsidR="00733CA7" w:rsidRPr="003D6C5D" w:rsidRDefault="00733CA7" w:rsidP="0071390A">
      <w:pPr>
        <w:spacing w:before="0" w:after="0" w:line="360" w:lineRule="auto"/>
        <w:jc w:val="both"/>
        <w:rPr>
          <w:rFonts w:ascii="Times New Roman" w:eastAsia="Times New Roman" w:hAnsi="Times New Roman" w:cs="Times New Roman"/>
          <w:i/>
          <w:lang w:eastAsia="pl-PL"/>
        </w:rPr>
      </w:pPr>
      <w:r w:rsidRPr="003D6C5D">
        <w:rPr>
          <w:rFonts w:ascii="Times New Roman" w:eastAsia="Times New Roman" w:hAnsi="Times New Roman" w:cs="Times New Roman"/>
          <w:lang w:eastAsia="pl-PL"/>
        </w:rPr>
        <w:t xml:space="preserve">Zaremba A., Konieczka P. (2014), </w:t>
      </w:r>
      <w:r w:rsidRPr="003D6C5D">
        <w:rPr>
          <w:rFonts w:ascii="Times New Roman" w:eastAsia="Times New Roman" w:hAnsi="Times New Roman" w:cs="Times New Roman"/>
          <w:i/>
          <w:lang w:eastAsia="pl-PL"/>
        </w:rPr>
        <w:t>Skuteczność rekomendacji maklerskich na polskim rynku akcji,</w:t>
      </w:r>
    </w:p>
    <w:p w14:paraId="4AD80207" w14:textId="77777777" w:rsidR="00733CA7" w:rsidRPr="003D6C5D" w:rsidRDefault="00733CA7" w:rsidP="0071390A">
      <w:pPr>
        <w:spacing w:before="0" w:after="0" w:line="360" w:lineRule="auto"/>
        <w:jc w:val="both"/>
        <w:rPr>
          <w:rFonts w:ascii="Times New Roman" w:eastAsia="Times New Roman" w:hAnsi="Times New Roman" w:cs="Times New Roman"/>
          <w:lang w:eastAsia="pl-PL"/>
        </w:rPr>
      </w:pPr>
      <w:r w:rsidRPr="003D6C5D">
        <w:rPr>
          <w:rFonts w:ascii="Times New Roman" w:eastAsia="Times New Roman" w:hAnsi="Times New Roman" w:cs="Times New Roman"/>
          <w:i/>
          <w:lang w:eastAsia="pl-PL"/>
        </w:rPr>
        <w:t>[w:]„Finanse, Rynki Finansowe, Ubezpieczenia” nr 66</w:t>
      </w:r>
      <w:r w:rsidRPr="003D6C5D">
        <w:rPr>
          <w:rFonts w:ascii="Times New Roman" w:eastAsia="Times New Roman" w:hAnsi="Times New Roman" w:cs="Times New Roman"/>
          <w:lang w:eastAsia="pl-PL"/>
        </w:rPr>
        <w:t>, Zeszyty Naukowe Uniwersytetu Szczecińskiego nr 803, Wydawnictwo Naukowe Uniwersy</w:t>
      </w:r>
      <w:r w:rsidR="0063773F">
        <w:rPr>
          <w:rFonts w:ascii="Times New Roman" w:eastAsia="Times New Roman" w:hAnsi="Times New Roman" w:cs="Times New Roman"/>
          <w:lang w:eastAsia="pl-PL"/>
        </w:rPr>
        <w:t>tetu Szczecińskiego, Szczecin, p</w:t>
      </w:r>
      <w:r w:rsidRPr="003D6C5D">
        <w:rPr>
          <w:rFonts w:ascii="Times New Roman" w:eastAsia="Times New Roman" w:hAnsi="Times New Roman" w:cs="Times New Roman"/>
          <w:lang w:eastAsia="pl-PL"/>
        </w:rPr>
        <w:t>. 573–581; www.wneiz.pl/fru</w:t>
      </w:r>
    </w:p>
    <w:p w14:paraId="5BD2A3C1" w14:textId="77777777" w:rsidR="00733CA7" w:rsidRPr="00AB5805" w:rsidRDefault="00733CA7" w:rsidP="0071390A">
      <w:pPr>
        <w:spacing w:before="0" w:after="0" w:line="360" w:lineRule="auto"/>
        <w:jc w:val="both"/>
        <w:rPr>
          <w:rFonts w:ascii="Times New Roman" w:hAnsi="Times New Roman" w:cs="Times New Roman"/>
          <w:vertAlign w:val="superscript"/>
          <w:lang w:eastAsia="de-DE"/>
        </w:rPr>
      </w:pPr>
      <w:r w:rsidRPr="00AB5805">
        <w:rPr>
          <w:rFonts w:ascii="Times New Roman" w:hAnsi="Times New Roman" w:cs="Times New Roman"/>
          <w:lang w:eastAsia="de-DE"/>
        </w:rPr>
        <w:t xml:space="preserve">Żelazek K.  (2014), </w:t>
      </w:r>
      <w:r w:rsidRPr="00AB5805">
        <w:rPr>
          <w:rFonts w:ascii="Times New Roman" w:hAnsi="Times New Roman" w:cs="Times New Roman"/>
          <w:i/>
          <w:lang w:eastAsia="de-DE"/>
        </w:rPr>
        <w:t xml:space="preserve">Raporty domów maklerskich dla spółek giełdowych, </w:t>
      </w:r>
      <w:r w:rsidRPr="00AB5805">
        <w:rPr>
          <w:rFonts w:ascii="Times New Roman" w:hAnsi="Times New Roman" w:cs="Times New Roman"/>
          <w:lang w:eastAsia="de-DE"/>
        </w:rPr>
        <w:t>”Rzeczpospolita Newspaper”, May 15</w:t>
      </w:r>
      <w:r w:rsidRPr="00AB5805">
        <w:rPr>
          <w:rFonts w:ascii="Times New Roman" w:hAnsi="Times New Roman" w:cs="Times New Roman"/>
          <w:vertAlign w:val="superscript"/>
          <w:lang w:eastAsia="de-DE"/>
        </w:rPr>
        <w:t>th</w:t>
      </w:r>
    </w:p>
    <w:p w14:paraId="3AE0FB74" w14:textId="77777777" w:rsidR="00733CA7" w:rsidRPr="003D6C5D" w:rsidRDefault="00733CA7" w:rsidP="0071390A">
      <w:pPr>
        <w:spacing w:before="0" w:after="0" w:line="360" w:lineRule="auto"/>
        <w:jc w:val="both"/>
        <w:rPr>
          <w:rFonts w:ascii="Times New Roman" w:eastAsia="Times New Roman" w:hAnsi="Times New Roman" w:cs="Times New Roman"/>
          <w:lang w:eastAsia="pl-PL"/>
        </w:rPr>
      </w:pPr>
      <w:r w:rsidRPr="00AB5805">
        <w:rPr>
          <w:rFonts w:ascii="Times New Roman" w:hAnsi="Times New Roman" w:cs="Times New Roman"/>
          <w:sz w:val="18"/>
          <w:szCs w:val="18"/>
          <w:lang w:eastAsia="de-DE"/>
        </w:rPr>
        <w:t>[www1] www.money.pl  (dostęp: 30.10.2017)</w:t>
      </w:r>
      <w:r w:rsidR="007F4FFD" w:rsidRPr="00AB5805">
        <w:rPr>
          <w:rFonts w:ascii="Times New Roman" w:hAnsi="Times New Roman" w:cs="Times New Roman"/>
          <w:sz w:val="18"/>
          <w:szCs w:val="18"/>
          <w:lang w:eastAsia="de-DE"/>
        </w:rPr>
        <w:t>.</w:t>
      </w:r>
    </w:p>
    <w:p w14:paraId="641B70E6" w14:textId="77777777" w:rsidR="00733CA7" w:rsidRPr="00AB5805" w:rsidRDefault="00733CA7" w:rsidP="0071390A">
      <w:pPr>
        <w:spacing w:before="0" w:after="0" w:line="360" w:lineRule="auto"/>
        <w:jc w:val="both"/>
        <w:rPr>
          <w:rFonts w:ascii="Times New Roman" w:hAnsi="Times New Roman" w:cs="Times New Roman"/>
          <w:b/>
          <w:sz w:val="24"/>
          <w:szCs w:val="24"/>
          <w:lang w:eastAsia="de-DE"/>
        </w:rPr>
      </w:pPr>
    </w:p>
    <w:p w14:paraId="0BC706A4" w14:textId="77777777" w:rsidR="00733CA7" w:rsidRPr="00AB5805" w:rsidRDefault="00733CA7" w:rsidP="0071390A">
      <w:pPr>
        <w:spacing w:before="0" w:after="0" w:line="360" w:lineRule="auto"/>
        <w:jc w:val="both"/>
        <w:rPr>
          <w:rFonts w:ascii="Times New Roman" w:hAnsi="Times New Roman" w:cs="Times New Roman"/>
          <w:b/>
          <w:lang w:eastAsia="de-DE"/>
        </w:rPr>
      </w:pPr>
      <w:r w:rsidRPr="00AB5805">
        <w:rPr>
          <w:rFonts w:ascii="Times New Roman" w:hAnsi="Times New Roman" w:cs="Times New Roman"/>
          <w:b/>
          <w:lang w:eastAsia="de-DE"/>
        </w:rPr>
        <w:t>Rekomendacje maklerskie- długoterminowa analiza opłacalności oraz ewolucja przepisów prawa</w:t>
      </w:r>
    </w:p>
    <w:p w14:paraId="6D56884F" w14:textId="77777777" w:rsidR="00733CA7" w:rsidRPr="00AB5805" w:rsidRDefault="00733CA7" w:rsidP="0071390A">
      <w:pPr>
        <w:spacing w:before="0" w:after="0" w:line="360" w:lineRule="auto"/>
        <w:jc w:val="both"/>
        <w:rPr>
          <w:rFonts w:ascii="Times New Roman" w:hAnsi="Times New Roman" w:cs="Times New Roman"/>
          <w:b/>
          <w:lang w:eastAsia="de-DE"/>
        </w:rPr>
      </w:pPr>
      <w:r w:rsidRPr="00AB5805">
        <w:rPr>
          <w:rFonts w:ascii="Times New Roman" w:hAnsi="Times New Roman" w:cs="Times New Roman"/>
          <w:b/>
          <w:lang w:eastAsia="de-DE"/>
        </w:rPr>
        <w:t xml:space="preserve">Abstract: </w:t>
      </w:r>
    </w:p>
    <w:p w14:paraId="2BB82A86" w14:textId="500B3655" w:rsidR="00733CA7" w:rsidRPr="00AB5805" w:rsidRDefault="00733CA7" w:rsidP="0071390A">
      <w:pPr>
        <w:spacing w:before="0" w:after="0" w:line="360" w:lineRule="auto"/>
        <w:jc w:val="both"/>
        <w:rPr>
          <w:rFonts w:ascii="Times New Roman" w:hAnsi="Times New Roman" w:cs="Times New Roman"/>
          <w:b/>
          <w:lang w:eastAsia="de-DE"/>
        </w:rPr>
      </w:pPr>
      <w:r w:rsidRPr="00AB5805">
        <w:rPr>
          <w:rFonts w:ascii="Times New Roman" w:hAnsi="Times New Roman" w:cs="Times New Roman"/>
          <w:lang w:eastAsia="de-DE"/>
        </w:rPr>
        <w:t>Celem artykułu jest ocena opłacalności strategii inwest</w:t>
      </w:r>
      <w:r w:rsidR="00E12970">
        <w:rPr>
          <w:rFonts w:ascii="Times New Roman" w:hAnsi="Times New Roman" w:cs="Times New Roman"/>
          <w:lang w:eastAsia="de-DE"/>
        </w:rPr>
        <w:t>y</w:t>
      </w:r>
      <w:r w:rsidRPr="00AB5805">
        <w:rPr>
          <w:rFonts w:ascii="Times New Roman" w:hAnsi="Times New Roman" w:cs="Times New Roman"/>
          <w:lang w:eastAsia="de-DE"/>
        </w:rPr>
        <w:t>cyjnych opartych na wydawanych przez domy maklerskie rekomendacjach</w:t>
      </w:r>
      <w:r w:rsidR="00E12970">
        <w:rPr>
          <w:rFonts w:ascii="Times New Roman" w:hAnsi="Times New Roman" w:cs="Times New Roman"/>
          <w:lang w:eastAsia="de-DE"/>
        </w:rPr>
        <w:t xml:space="preserve"> i wyłonienie tzw. liderów rekomendacji spośród instytucji finansowych </w:t>
      </w:r>
      <w:r w:rsidR="00E12970">
        <w:rPr>
          <w:rFonts w:ascii="Times New Roman" w:hAnsi="Times New Roman" w:cs="Times New Roman"/>
          <w:lang w:eastAsia="de-DE"/>
        </w:rPr>
        <w:lastRenderedPageBreak/>
        <w:t>publikujących sugestie inwestycyjne</w:t>
      </w:r>
      <w:r w:rsidRPr="00AB5805">
        <w:rPr>
          <w:rFonts w:ascii="Times New Roman" w:hAnsi="Times New Roman" w:cs="Times New Roman"/>
          <w:lang w:eastAsia="de-DE"/>
        </w:rPr>
        <w:t>. Autorzy postanowili również sprawdzić czy w związku z pojawiającymi się nienajlepszymi wynikami badań dotyczą</w:t>
      </w:r>
      <w:r w:rsidR="00E12970">
        <w:rPr>
          <w:rFonts w:ascii="Times New Roman" w:hAnsi="Times New Roman" w:cs="Times New Roman"/>
          <w:lang w:eastAsia="de-DE"/>
        </w:rPr>
        <w:t>cy</w:t>
      </w:r>
      <w:r w:rsidRPr="00AB5805">
        <w:rPr>
          <w:rFonts w:ascii="Times New Roman" w:hAnsi="Times New Roman" w:cs="Times New Roman"/>
          <w:lang w:eastAsia="de-DE"/>
        </w:rPr>
        <w:t>ch wydawanych rekomendacji przepisy prawa ewoluują w celu poprawy ich jakości.  Analizą zostały objęte wszystkie rekomendacje akcji dla spółek notowanych na Giełdzie Papierów Wartościowych w Warszawie opublikowane w okresie od 2006 r. do końca października 2017 r. Krzywa kapitału prezentująca wyniki badań obejmujące zarówno koszty transakcji, jak i podatek od zysków kapitałowych. Prze</w:t>
      </w:r>
      <w:r w:rsidR="00E12970">
        <w:rPr>
          <w:rFonts w:ascii="Times New Roman" w:hAnsi="Times New Roman" w:cs="Times New Roman"/>
          <w:lang w:eastAsia="de-DE"/>
        </w:rPr>
        <w:t>p</w:t>
      </w:r>
      <w:r w:rsidRPr="00AB5805">
        <w:rPr>
          <w:rFonts w:ascii="Times New Roman" w:hAnsi="Times New Roman" w:cs="Times New Roman"/>
          <w:lang w:eastAsia="de-DE"/>
        </w:rPr>
        <w:t>rowadz</w:t>
      </w:r>
      <w:r w:rsidR="00E12970">
        <w:rPr>
          <w:rFonts w:ascii="Times New Roman" w:hAnsi="Times New Roman" w:cs="Times New Roman"/>
          <w:lang w:eastAsia="de-DE"/>
        </w:rPr>
        <w:t>on</w:t>
      </w:r>
      <w:r w:rsidRPr="00AB5805">
        <w:rPr>
          <w:rFonts w:ascii="Times New Roman" w:hAnsi="Times New Roman" w:cs="Times New Roman"/>
          <w:lang w:eastAsia="de-DE"/>
        </w:rPr>
        <w:t>e badania nad jakością wydawanych przez domy maklerskie rekomendacji dowodzą, że ogólna jakość zaleceń jest bardzo niska, a uwzględnione przy kalkulacji koszty transakcyjne wraz z podatkiem od zysków kapitałowych tylko pogarszają osiągnięte wyniki. Jednakże pomimo słabej jakości wydawanych rekomendacji można dostrzec liderów wśród domów maklers</w:t>
      </w:r>
      <w:r w:rsidR="00E12970">
        <w:rPr>
          <w:rFonts w:ascii="Times New Roman" w:hAnsi="Times New Roman" w:cs="Times New Roman"/>
          <w:lang w:eastAsia="de-DE"/>
        </w:rPr>
        <w:t>k</w:t>
      </w:r>
      <w:r w:rsidRPr="00AB5805">
        <w:rPr>
          <w:rFonts w:ascii="Times New Roman" w:hAnsi="Times New Roman" w:cs="Times New Roman"/>
          <w:lang w:eastAsia="de-DE"/>
        </w:rPr>
        <w:t xml:space="preserve">ich publikujących rekomendacje regularnie. Badania pokazują również, iż mimo słabej jakości wydawanych rekomendacji przepisy prawa nie uległy żadnej zmianie. </w:t>
      </w:r>
    </w:p>
    <w:p w14:paraId="534418D7" w14:textId="77777777" w:rsidR="00733CA7" w:rsidRPr="00AB5805" w:rsidRDefault="00733CA7" w:rsidP="0071390A">
      <w:pPr>
        <w:spacing w:before="0" w:after="0" w:line="360" w:lineRule="auto"/>
        <w:jc w:val="both"/>
        <w:rPr>
          <w:rFonts w:ascii="Times New Roman" w:hAnsi="Times New Roman" w:cs="Times New Roman"/>
          <w:b/>
          <w:lang w:eastAsia="de-DE"/>
        </w:rPr>
      </w:pPr>
      <w:r w:rsidRPr="00AB5805">
        <w:rPr>
          <w:rFonts w:ascii="Times New Roman" w:hAnsi="Times New Roman" w:cs="Times New Roman"/>
          <w:b/>
          <w:lang w:eastAsia="de-DE"/>
        </w:rPr>
        <w:t>Słowa kluczowe</w:t>
      </w:r>
      <w:r w:rsidRPr="00AB5805">
        <w:rPr>
          <w:rFonts w:ascii="Times New Roman" w:hAnsi="Times New Roman" w:cs="Times New Roman"/>
          <w:lang w:eastAsia="de-DE"/>
        </w:rPr>
        <w:t>: rekomendacje maklerskie, inwestor indywidualny, podatek od zysków kapitałowych, inwestycje, Giełda Papierów Wartościowych.</w:t>
      </w:r>
    </w:p>
    <w:p w14:paraId="7679D8DA" w14:textId="5EF05BC6" w:rsidR="00733CA7" w:rsidRDefault="00733CA7" w:rsidP="0071390A">
      <w:pPr>
        <w:spacing w:before="0" w:after="0" w:line="360" w:lineRule="auto"/>
        <w:jc w:val="both"/>
        <w:rPr>
          <w:rFonts w:ascii="Times New Roman" w:hAnsi="Times New Roman" w:cs="Times New Roman"/>
          <w:b/>
          <w:sz w:val="24"/>
          <w:szCs w:val="24"/>
          <w:lang w:eastAsia="de-DE"/>
        </w:rPr>
      </w:pPr>
    </w:p>
    <w:p w14:paraId="45FDB5D0" w14:textId="77777777" w:rsidR="00ED79BB" w:rsidRPr="00AB5805" w:rsidRDefault="00ED79BB" w:rsidP="0071390A">
      <w:pPr>
        <w:spacing w:before="0" w:after="0" w:line="360" w:lineRule="auto"/>
        <w:jc w:val="both"/>
        <w:rPr>
          <w:rFonts w:ascii="Times New Roman" w:hAnsi="Times New Roman" w:cs="Times New Roman"/>
          <w:b/>
          <w:sz w:val="24"/>
          <w:szCs w:val="24"/>
          <w:lang w:eastAsia="de-DE"/>
        </w:rPr>
      </w:pPr>
    </w:p>
    <w:p w14:paraId="3B8120DA" w14:textId="77777777" w:rsidR="00733CA7" w:rsidRPr="00AB5805" w:rsidRDefault="00733CA7" w:rsidP="0071390A">
      <w:pPr>
        <w:spacing w:before="0" w:after="0" w:line="360" w:lineRule="auto"/>
        <w:jc w:val="both"/>
        <w:rPr>
          <w:rFonts w:ascii="Times New Roman" w:hAnsi="Times New Roman" w:cs="Times New Roman"/>
          <w:b/>
          <w:sz w:val="24"/>
          <w:szCs w:val="24"/>
          <w:lang w:eastAsia="de-DE"/>
        </w:rPr>
      </w:pPr>
    </w:p>
    <w:p w14:paraId="63D61632" w14:textId="77777777" w:rsidR="00733CA7" w:rsidRPr="00AB5805" w:rsidRDefault="00733CA7" w:rsidP="0071390A">
      <w:pPr>
        <w:spacing w:before="0" w:after="0" w:line="360" w:lineRule="auto"/>
        <w:jc w:val="both"/>
        <w:rPr>
          <w:rFonts w:ascii="Calibri" w:hAnsi="Calibri"/>
          <w:lang w:eastAsia="de-DE"/>
        </w:rPr>
      </w:pPr>
    </w:p>
    <w:p w14:paraId="271E758D" w14:textId="77777777" w:rsidR="00733CA7" w:rsidRDefault="00733CA7" w:rsidP="0071390A">
      <w:pPr>
        <w:spacing w:before="0" w:after="0" w:line="360" w:lineRule="auto"/>
        <w:jc w:val="both"/>
      </w:pPr>
    </w:p>
    <w:p w14:paraId="56905F96" w14:textId="77777777" w:rsidR="00733CA7" w:rsidRPr="00AB5805" w:rsidRDefault="00733CA7" w:rsidP="0071390A">
      <w:pPr>
        <w:spacing w:before="0" w:after="0" w:line="360" w:lineRule="auto"/>
        <w:jc w:val="both"/>
        <w:rPr>
          <w:rFonts w:ascii="Times New Roman" w:hAnsi="Times New Roman" w:cs="Times New Roman"/>
          <w:sz w:val="24"/>
          <w:szCs w:val="24"/>
          <w:lang w:eastAsia="de-DE"/>
        </w:rPr>
      </w:pPr>
    </w:p>
    <w:p w14:paraId="7BAFF4A0" w14:textId="77777777" w:rsidR="00733CA7" w:rsidRDefault="00733CA7" w:rsidP="0071390A">
      <w:pPr>
        <w:spacing w:before="0" w:after="0" w:line="360" w:lineRule="auto"/>
        <w:jc w:val="both"/>
      </w:pPr>
    </w:p>
    <w:sectPr w:rsidR="00733CA7" w:rsidSect="00A56EC0">
      <w:pgSz w:w="11906" w:h="16838"/>
      <w:pgMar w:top="1418" w:right="1985"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38A06" w14:textId="77777777" w:rsidR="00600B4F" w:rsidRDefault="00600B4F" w:rsidP="00733CA7">
      <w:pPr>
        <w:spacing w:before="0" w:after="0" w:line="240" w:lineRule="auto"/>
      </w:pPr>
      <w:r>
        <w:separator/>
      </w:r>
    </w:p>
  </w:endnote>
  <w:endnote w:type="continuationSeparator" w:id="0">
    <w:p w14:paraId="0CA1FE60" w14:textId="77777777" w:rsidR="00600B4F" w:rsidRDefault="00600B4F" w:rsidP="00733CA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BDCE9" w14:textId="77777777" w:rsidR="00600B4F" w:rsidRDefault="00600B4F" w:rsidP="00733CA7">
      <w:pPr>
        <w:spacing w:before="0" w:after="0" w:line="240" w:lineRule="auto"/>
      </w:pPr>
      <w:r>
        <w:separator/>
      </w:r>
    </w:p>
  </w:footnote>
  <w:footnote w:type="continuationSeparator" w:id="0">
    <w:p w14:paraId="269D1AA8" w14:textId="77777777" w:rsidR="00600B4F" w:rsidRDefault="00600B4F" w:rsidP="00733CA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14E95"/>
    <w:multiLevelType w:val="hybridMultilevel"/>
    <w:tmpl w:val="CD78F6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0B2C1F"/>
    <w:multiLevelType w:val="hybridMultilevel"/>
    <w:tmpl w:val="B5AE54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86E3AE5"/>
    <w:multiLevelType w:val="hybridMultilevel"/>
    <w:tmpl w:val="3078D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pl-PL"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de-DE"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C73"/>
    <w:rsid w:val="0000189D"/>
    <w:rsid w:val="000027BB"/>
    <w:rsid w:val="00050D53"/>
    <w:rsid w:val="0007077A"/>
    <w:rsid w:val="00077B6F"/>
    <w:rsid w:val="00096086"/>
    <w:rsid w:val="000A7BA4"/>
    <w:rsid w:val="000B0000"/>
    <w:rsid w:val="000B1575"/>
    <w:rsid w:val="000B5B83"/>
    <w:rsid w:val="000D3860"/>
    <w:rsid w:val="000E2341"/>
    <w:rsid w:val="000E3AFE"/>
    <w:rsid w:val="000F3966"/>
    <w:rsid w:val="001061E5"/>
    <w:rsid w:val="00106BEE"/>
    <w:rsid w:val="00142384"/>
    <w:rsid w:val="00144150"/>
    <w:rsid w:val="00151EF6"/>
    <w:rsid w:val="00155D14"/>
    <w:rsid w:val="001560DE"/>
    <w:rsid w:val="00174F2A"/>
    <w:rsid w:val="001A0CCF"/>
    <w:rsid w:val="001A7CE7"/>
    <w:rsid w:val="001C306F"/>
    <w:rsid w:val="001C722E"/>
    <w:rsid w:val="001E5494"/>
    <w:rsid w:val="001F4F1B"/>
    <w:rsid w:val="00215827"/>
    <w:rsid w:val="00225566"/>
    <w:rsid w:val="0026738F"/>
    <w:rsid w:val="00272E65"/>
    <w:rsid w:val="00280ABA"/>
    <w:rsid w:val="002937AD"/>
    <w:rsid w:val="002B0B58"/>
    <w:rsid w:val="002C39BE"/>
    <w:rsid w:val="002E06F2"/>
    <w:rsid w:val="002E260B"/>
    <w:rsid w:val="003126C0"/>
    <w:rsid w:val="00316489"/>
    <w:rsid w:val="00366D0C"/>
    <w:rsid w:val="003A4D99"/>
    <w:rsid w:val="003D2C0A"/>
    <w:rsid w:val="004207A6"/>
    <w:rsid w:val="004314F5"/>
    <w:rsid w:val="00437D4E"/>
    <w:rsid w:val="004455FA"/>
    <w:rsid w:val="0047586D"/>
    <w:rsid w:val="00493C33"/>
    <w:rsid w:val="004A391D"/>
    <w:rsid w:val="004D1697"/>
    <w:rsid w:val="004F1FE4"/>
    <w:rsid w:val="004F4EAA"/>
    <w:rsid w:val="005050EF"/>
    <w:rsid w:val="00543A07"/>
    <w:rsid w:val="005625A5"/>
    <w:rsid w:val="00563CDE"/>
    <w:rsid w:val="005738EE"/>
    <w:rsid w:val="0059600D"/>
    <w:rsid w:val="00596528"/>
    <w:rsid w:val="005A5C73"/>
    <w:rsid w:val="005B05C1"/>
    <w:rsid w:val="005C397F"/>
    <w:rsid w:val="005F6C46"/>
    <w:rsid w:val="00600B4F"/>
    <w:rsid w:val="00617975"/>
    <w:rsid w:val="006333D6"/>
    <w:rsid w:val="006356B7"/>
    <w:rsid w:val="00635B57"/>
    <w:rsid w:val="0063773F"/>
    <w:rsid w:val="00642DC8"/>
    <w:rsid w:val="0068594D"/>
    <w:rsid w:val="0069203A"/>
    <w:rsid w:val="006A57C6"/>
    <w:rsid w:val="006B0506"/>
    <w:rsid w:val="006C576F"/>
    <w:rsid w:val="006D294A"/>
    <w:rsid w:val="0071390A"/>
    <w:rsid w:val="007171A5"/>
    <w:rsid w:val="00721CCA"/>
    <w:rsid w:val="00733CA7"/>
    <w:rsid w:val="007427E9"/>
    <w:rsid w:val="00744086"/>
    <w:rsid w:val="00747D78"/>
    <w:rsid w:val="00752075"/>
    <w:rsid w:val="00752AA0"/>
    <w:rsid w:val="00771551"/>
    <w:rsid w:val="00792571"/>
    <w:rsid w:val="007941DB"/>
    <w:rsid w:val="007A0290"/>
    <w:rsid w:val="007C2A3C"/>
    <w:rsid w:val="007E337F"/>
    <w:rsid w:val="007F0DE4"/>
    <w:rsid w:val="007F3A2C"/>
    <w:rsid w:val="007F4FFD"/>
    <w:rsid w:val="007F5409"/>
    <w:rsid w:val="007F69AB"/>
    <w:rsid w:val="007F7752"/>
    <w:rsid w:val="008024E0"/>
    <w:rsid w:val="0080781D"/>
    <w:rsid w:val="00807F2C"/>
    <w:rsid w:val="00812947"/>
    <w:rsid w:val="00815F30"/>
    <w:rsid w:val="00824125"/>
    <w:rsid w:val="00830E27"/>
    <w:rsid w:val="00831209"/>
    <w:rsid w:val="00844ECD"/>
    <w:rsid w:val="0085790A"/>
    <w:rsid w:val="008751D3"/>
    <w:rsid w:val="008825C1"/>
    <w:rsid w:val="00885D1B"/>
    <w:rsid w:val="00892E69"/>
    <w:rsid w:val="008936A5"/>
    <w:rsid w:val="008A2D4B"/>
    <w:rsid w:val="008A6EB8"/>
    <w:rsid w:val="00904555"/>
    <w:rsid w:val="00922852"/>
    <w:rsid w:val="00922A12"/>
    <w:rsid w:val="0093713C"/>
    <w:rsid w:val="00946618"/>
    <w:rsid w:val="0098192D"/>
    <w:rsid w:val="009846CA"/>
    <w:rsid w:val="0099282E"/>
    <w:rsid w:val="009A4CDC"/>
    <w:rsid w:val="009A6D8C"/>
    <w:rsid w:val="009C1AD7"/>
    <w:rsid w:val="009C6D83"/>
    <w:rsid w:val="009D1F58"/>
    <w:rsid w:val="00A011D4"/>
    <w:rsid w:val="00A25434"/>
    <w:rsid w:val="00A26E5A"/>
    <w:rsid w:val="00A363BD"/>
    <w:rsid w:val="00A56EC0"/>
    <w:rsid w:val="00A57ED9"/>
    <w:rsid w:val="00A6221E"/>
    <w:rsid w:val="00A6683B"/>
    <w:rsid w:val="00A71F7C"/>
    <w:rsid w:val="00A960BF"/>
    <w:rsid w:val="00AA6A7C"/>
    <w:rsid w:val="00AB015F"/>
    <w:rsid w:val="00AB09D2"/>
    <w:rsid w:val="00AB5805"/>
    <w:rsid w:val="00AB7FDA"/>
    <w:rsid w:val="00AC695A"/>
    <w:rsid w:val="00AE090A"/>
    <w:rsid w:val="00AF7083"/>
    <w:rsid w:val="00B20A55"/>
    <w:rsid w:val="00B845AD"/>
    <w:rsid w:val="00B97572"/>
    <w:rsid w:val="00BB1BD6"/>
    <w:rsid w:val="00BB728C"/>
    <w:rsid w:val="00BE4A93"/>
    <w:rsid w:val="00C25864"/>
    <w:rsid w:val="00C45D79"/>
    <w:rsid w:val="00C64E98"/>
    <w:rsid w:val="00C97137"/>
    <w:rsid w:val="00CA2376"/>
    <w:rsid w:val="00CD2C98"/>
    <w:rsid w:val="00CE282B"/>
    <w:rsid w:val="00CF1F71"/>
    <w:rsid w:val="00D050A9"/>
    <w:rsid w:val="00D26279"/>
    <w:rsid w:val="00D33980"/>
    <w:rsid w:val="00D441B3"/>
    <w:rsid w:val="00D73869"/>
    <w:rsid w:val="00D748DE"/>
    <w:rsid w:val="00D8547B"/>
    <w:rsid w:val="00D912E8"/>
    <w:rsid w:val="00D95C5D"/>
    <w:rsid w:val="00DA54DC"/>
    <w:rsid w:val="00DC0336"/>
    <w:rsid w:val="00DD4408"/>
    <w:rsid w:val="00DD7E55"/>
    <w:rsid w:val="00DE2E79"/>
    <w:rsid w:val="00DF01D8"/>
    <w:rsid w:val="00DF6220"/>
    <w:rsid w:val="00E05C50"/>
    <w:rsid w:val="00E12970"/>
    <w:rsid w:val="00E27101"/>
    <w:rsid w:val="00E35A10"/>
    <w:rsid w:val="00E44205"/>
    <w:rsid w:val="00E4459C"/>
    <w:rsid w:val="00E63E4C"/>
    <w:rsid w:val="00E673A8"/>
    <w:rsid w:val="00E679C9"/>
    <w:rsid w:val="00E74201"/>
    <w:rsid w:val="00E80B8B"/>
    <w:rsid w:val="00E9304E"/>
    <w:rsid w:val="00ED79BB"/>
    <w:rsid w:val="00EF587E"/>
    <w:rsid w:val="00EF7177"/>
    <w:rsid w:val="00F02964"/>
    <w:rsid w:val="00F16E07"/>
    <w:rsid w:val="00F17379"/>
    <w:rsid w:val="00F7021E"/>
    <w:rsid w:val="00F738B7"/>
    <w:rsid w:val="00F77F76"/>
    <w:rsid w:val="00F978DD"/>
    <w:rsid w:val="00FC51C7"/>
    <w:rsid w:val="00FF71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7322F"/>
  <w15:chartTrackingRefBased/>
  <w15:docId w15:val="{9B9AC027-C02A-4D0B-8201-1CC18EE93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33CA7"/>
    <w:pPr>
      <w:spacing w:before="100" w:after="200" w:line="276" w:lineRule="auto"/>
    </w:pPr>
    <w:rPr>
      <w:rFonts w:eastAsiaTheme="minorEastAsia"/>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Zwykatabela2">
    <w:name w:val="Plain Table 2"/>
    <w:basedOn w:val="Standardowy"/>
    <w:uiPriority w:val="42"/>
    <w:rsid w:val="00733CA7"/>
    <w:pPr>
      <w:spacing w:before="100" w:after="0" w:line="240" w:lineRule="auto"/>
    </w:pPr>
    <w:rPr>
      <w:rFonts w:eastAsiaTheme="minorEastAsia"/>
      <w:sz w:val="20"/>
      <w:szCs w:val="20"/>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agwek">
    <w:name w:val="header"/>
    <w:basedOn w:val="Normalny"/>
    <w:link w:val="NagwekZnak"/>
    <w:uiPriority w:val="99"/>
    <w:unhideWhenUsed/>
    <w:rsid w:val="00733CA7"/>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733CA7"/>
    <w:rPr>
      <w:rFonts w:eastAsiaTheme="minorEastAsia"/>
      <w:sz w:val="20"/>
      <w:szCs w:val="20"/>
    </w:rPr>
  </w:style>
  <w:style w:type="paragraph" w:styleId="Stopka">
    <w:name w:val="footer"/>
    <w:basedOn w:val="Normalny"/>
    <w:link w:val="StopkaZnak"/>
    <w:uiPriority w:val="99"/>
    <w:unhideWhenUsed/>
    <w:rsid w:val="00733CA7"/>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733CA7"/>
    <w:rPr>
      <w:rFonts w:eastAsiaTheme="minorEastAsia"/>
      <w:sz w:val="20"/>
      <w:szCs w:val="20"/>
    </w:rPr>
  </w:style>
  <w:style w:type="character" w:styleId="Hipercze">
    <w:name w:val="Hyperlink"/>
    <w:basedOn w:val="Domylnaczcionkaakapitu"/>
    <w:uiPriority w:val="99"/>
    <w:unhideWhenUsed/>
    <w:rsid w:val="00BE4A93"/>
    <w:rPr>
      <w:color w:val="0563C1" w:themeColor="hyperlink"/>
      <w:u w:val="single"/>
    </w:rPr>
  </w:style>
  <w:style w:type="character" w:styleId="Odwoaniedokomentarza">
    <w:name w:val="annotation reference"/>
    <w:basedOn w:val="Domylnaczcionkaakapitu"/>
    <w:uiPriority w:val="99"/>
    <w:semiHidden/>
    <w:unhideWhenUsed/>
    <w:rsid w:val="0000189D"/>
    <w:rPr>
      <w:sz w:val="16"/>
      <w:szCs w:val="16"/>
    </w:rPr>
  </w:style>
  <w:style w:type="paragraph" w:styleId="Tekstkomentarza">
    <w:name w:val="annotation text"/>
    <w:basedOn w:val="Normalny"/>
    <w:link w:val="TekstkomentarzaZnak"/>
    <w:uiPriority w:val="99"/>
    <w:semiHidden/>
    <w:unhideWhenUsed/>
    <w:rsid w:val="0000189D"/>
    <w:pPr>
      <w:spacing w:line="240" w:lineRule="auto"/>
    </w:pPr>
  </w:style>
  <w:style w:type="character" w:customStyle="1" w:styleId="TekstkomentarzaZnak">
    <w:name w:val="Tekst komentarza Znak"/>
    <w:basedOn w:val="Domylnaczcionkaakapitu"/>
    <w:link w:val="Tekstkomentarza"/>
    <w:uiPriority w:val="99"/>
    <w:semiHidden/>
    <w:rsid w:val="0000189D"/>
    <w:rPr>
      <w:rFonts w:eastAsiaTheme="minorEastAsia"/>
      <w:sz w:val="20"/>
      <w:szCs w:val="20"/>
    </w:rPr>
  </w:style>
  <w:style w:type="paragraph" w:styleId="Tematkomentarza">
    <w:name w:val="annotation subject"/>
    <w:basedOn w:val="Tekstkomentarza"/>
    <w:next w:val="Tekstkomentarza"/>
    <w:link w:val="TematkomentarzaZnak"/>
    <w:uiPriority w:val="99"/>
    <w:semiHidden/>
    <w:unhideWhenUsed/>
    <w:rsid w:val="0000189D"/>
    <w:rPr>
      <w:b/>
      <w:bCs/>
    </w:rPr>
  </w:style>
  <w:style w:type="character" w:customStyle="1" w:styleId="TematkomentarzaZnak">
    <w:name w:val="Temat komentarza Znak"/>
    <w:basedOn w:val="TekstkomentarzaZnak"/>
    <w:link w:val="Tematkomentarza"/>
    <w:uiPriority w:val="99"/>
    <w:semiHidden/>
    <w:rsid w:val="0000189D"/>
    <w:rPr>
      <w:rFonts w:eastAsiaTheme="minorEastAsia"/>
      <w:b/>
      <w:bCs/>
      <w:sz w:val="20"/>
      <w:szCs w:val="20"/>
    </w:rPr>
  </w:style>
  <w:style w:type="paragraph" w:styleId="Poprawka">
    <w:name w:val="Revision"/>
    <w:hidden/>
    <w:uiPriority w:val="99"/>
    <w:semiHidden/>
    <w:rsid w:val="0000189D"/>
    <w:pPr>
      <w:spacing w:after="0" w:line="240" w:lineRule="auto"/>
    </w:pPr>
    <w:rPr>
      <w:rFonts w:eastAsiaTheme="minorEastAsia"/>
      <w:sz w:val="20"/>
      <w:szCs w:val="20"/>
    </w:rPr>
  </w:style>
  <w:style w:type="paragraph" w:styleId="Tekstdymka">
    <w:name w:val="Balloon Text"/>
    <w:basedOn w:val="Normalny"/>
    <w:link w:val="TekstdymkaZnak"/>
    <w:uiPriority w:val="99"/>
    <w:semiHidden/>
    <w:unhideWhenUsed/>
    <w:rsid w:val="0000189D"/>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189D"/>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44998">
      <w:bodyDiv w:val="1"/>
      <w:marLeft w:val="0"/>
      <w:marRight w:val="0"/>
      <w:marTop w:val="0"/>
      <w:marBottom w:val="0"/>
      <w:divBdr>
        <w:top w:val="none" w:sz="0" w:space="0" w:color="auto"/>
        <w:left w:val="none" w:sz="0" w:space="0" w:color="auto"/>
        <w:bottom w:val="none" w:sz="0" w:space="0" w:color="auto"/>
        <w:right w:val="none" w:sz="0" w:space="0" w:color="auto"/>
      </w:divBdr>
      <w:divsChild>
        <w:div w:id="1099326005">
          <w:marLeft w:val="0"/>
          <w:marRight w:val="0"/>
          <w:marTop w:val="0"/>
          <w:marBottom w:val="0"/>
          <w:divBdr>
            <w:top w:val="none" w:sz="0" w:space="0" w:color="auto"/>
            <w:left w:val="none" w:sz="0" w:space="0" w:color="auto"/>
            <w:bottom w:val="none" w:sz="0" w:space="0" w:color="auto"/>
            <w:right w:val="none" w:sz="0" w:space="0" w:color="auto"/>
          </w:divBdr>
        </w:div>
        <w:div w:id="619803646">
          <w:marLeft w:val="0"/>
          <w:marRight w:val="0"/>
          <w:marTop w:val="0"/>
          <w:marBottom w:val="0"/>
          <w:divBdr>
            <w:top w:val="none" w:sz="0" w:space="0" w:color="auto"/>
            <w:left w:val="none" w:sz="0" w:space="0" w:color="auto"/>
            <w:bottom w:val="none" w:sz="0" w:space="0" w:color="auto"/>
            <w:right w:val="none" w:sz="0" w:space="0" w:color="auto"/>
          </w:divBdr>
        </w:div>
        <w:div w:id="2055041698">
          <w:marLeft w:val="0"/>
          <w:marRight w:val="0"/>
          <w:marTop w:val="0"/>
          <w:marBottom w:val="0"/>
          <w:divBdr>
            <w:top w:val="none" w:sz="0" w:space="0" w:color="auto"/>
            <w:left w:val="none" w:sz="0" w:space="0" w:color="auto"/>
            <w:bottom w:val="none" w:sz="0" w:space="0" w:color="auto"/>
            <w:right w:val="none" w:sz="0" w:space="0" w:color="auto"/>
          </w:divBdr>
        </w:div>
        <w:div w:id="1721172490">
          <w:marLeft w:val="0"/>
          <w:marRight w:val="0"/>
          <w:marTop w:val="0"/>
          <w:marBottom w:val="0"/>
          <w:divBdr>
            <w:top w:val="none" w:sz="0" w:space="0" w:color="auto"/>
            <w:left w:val="none" w:sz="0" w:space="0" w:color="auto"/>
            <w:bottom w:val="none" w:sz="0" w:space="0" w:color="auto"/>
            <w:right w:val="none" w:sz="0" w:space="0" w:color="auto"/>
          </w:divBdr>
        </w:div>
        <w:div w:id="1316229171">
          <w:marLeft w:val="0"/>
          <w:marRight w:val="0"/>
          <w:marTop w:val="0"/>
          <w:marBottom w:val="0"/>
          <w:divBdr>
            <w:top w:val="none" w:sz="0" w:space="0" w:color="auto"/>
            <w:left w:val="none" w:sz="0" w:space="0" w:color="auto"/>
            <w:bottom w:val="none" w:sz="0" w:space="0" w:color="auto"/>
            <w:right w:val="none" w:sz="0" w:space="0" w:color="auto"/>
          </w:divBdr>
        </w:div>
        <w:div w:id="71898931">
          <w:marLeft w:val="0"/>
          <w:marRight w:val="0"/>
          <w:marTop w:val="0"/>
          <w:marBottom w:val="0"/>
          <w:divBdr>
            <w:top w:val="none" w:sz="0" w:space="0" w:color="auto"/>
            <w:left w:val="none" w:sz="0" w:space="0" w:color="auto"/>
            <w:bottom w:val="none" w:sz="0" w:space="0" w:color="auto"/>
            <w:right w:val="none" w:sz="0" w:space="0" w:color="auto"/>
          </w:divBdr>
        </w:div>
        <w:div w:id="222104836">
          <w:marLeft w:val="0"/>
          <w:marRight w:val="0"/>
          <w:marTop w:val="0"/>
          <w:marBottom w:val="0"/>
          <w:divBdr>
            <w:top w:val="none" w:sz="0" w:space="0" w:color="auto"/>
            <w:left w:val="none" w:sz="0" w:space="0" w:color="auto"/>
            <w:bottom w:val="none" w:sz="0" w:space="0" w:color="auto"/>
            <w:right w:val="none" w:sz="0" w:space="0" w:color="auto"/>
          </w:divBdr>
        </w:div>
        <w:div w:id="1805467959">
          <w:marLeft w:val="0"/>
          <w:marRight w:val="0"/>
          <w:marTop w:val="0"/>
          <w:marBottom w:val="0"/>
          <w:divBdr>
            <w:top w:val="none" w:sz="0" w:space="0" w:color="auto"/>
            <w:left w:val="none" w:sz="0" w:space="0" w:color="auto"/>
            <w:bottom w:val="none" w:sz="0" w:space="0" w:color="auto"/>
            <w:right w:val="none" w:sz="0" w:space="0" w:color="auto"/>
          </w:divBdr>
        </w:div>
        <w:div w:id="1889684981">
          <w:marLeft w:val="0"/>
          <w:marRight w:val="0"/>
          <w:marTop w:val="0"/>
          <w:marBottom w:val="0"/>
          <w:divBdr>
            <w:top w:val="none" w:sz="0" w:space="0" w:color="auto"/>
            <w:left w:val="none" w:sz="0" w:space="0" w:color="auto"/>
            <w:bottom w:val="none" w:sz="0" w:space="0" w:color="auto"/>
            <w:right w:val="none" w:sz="0" w:space="0" w:color="auto"/>
          </w:divBdr>
        </w:div>
        <w:div w:id="1089616742">
          <w:marLeft w:val="0"/>
          <w:marRight w:val="0"/>
          <w:marTop w:val="0"/>
          <w:marBottom w:val="0"/>
          <w:divBdr>
            <w:top w:val="none" w:sz="0" w:space="0" w:color="auto"/>
            <w:left w:val="none" w:sz="0" w:space="0" w:color="auto"/>
            <w:bottom w:val="none" w:sz="0" w:space="0" w:color="auto"/>
            <w:right w:val="none" w:sz="0" w:space="0" w:color="auto"/>
          </w:divBdr>
        </w:div>
        <w:div w:id="1529027790">
          <w:marLeft w:val="0"/>
          <w:marRight w:val="0"/>
          <w:marTop w:val="0"/>
          <w:marBottom w:val="0"/>
          <w:divBdr>
            <w:top w:val="none" w:sz="0" w:space="0" w:color="auto"/>
            <w:left w:val="none" w:sz="0" w:space="0" w:color="auto"/>
            <w:bottom w:val="none" w:sz="0" w:space="0" w:color="auto"/>
            <w:right w:val="none" w:sz="0" w:space="0" w:color="auto"/>
          </w:divBdr>
        </w:div>
        <w:div w:id="233586549">
          <w:marLeft w:val="0"/>
          <w:marRight w:val="0"/>
          <w:marTop w:val="0"/>
          <w:marBottom w:val="0"/>
          <w:divBdr>
            <w:top w:val="none" w:sz="0" w:space="0" w:color="auto"/>
            <w:left w:val="none" w:sz="0" w:space="0" w:color="auto"/>
            <w:bottom w:val="none" w:sz="0" w:space="0" w:color="auto"/>
            <w:right w:val="none" w:sz="0" w:space="0" w:color="auto"/>
          </w:divBdr>
        </w:div>
        <w:div w:id="418216635">
          <w:marLeft w:val="0"/>
          <w:marRight w:val="0"/>
          <w:marTop w:val="0"/>
          <w:marBottom w:val="0"/>
          <w:divBdr>
            <w:top w:val="none" w:sz="0" w:space="0" w:color="auto"/>
            <w:left w:val="none" w:sz="0" w:space="0" w:color="auto"/>
            <w:bottom w:val="none" w:sz="0" w:space="0" w:color="auto"/>
            <w:right w:val="none" w:sz="0" w:space="0" w:color="auto"/>
          </w:divBdr>
        </w:div>
        <w:div w:id="364644430">
          <w:marLeft w:val="0"/>
          <w:marRight w:val="0"/>
          <w:marTop w:val="0"/>
          <w:marBottom w:val="0"/>
          <w:divBdr>
            <w:top w:val="none" w:sz="0" w:space="0" w:color="auto"/>
            <w:left w:val="none" w:sz="0" w:space="0" w:color="auto"/>
            <w:bottom w:val="none" w:sz="0" w:space="0" w:color="auto"/>
            <w:right w:val="none" w:sz="0" w:space="0" w:color="auto"/>
          </w:divBdr>
        </w:div>
        <w:div w:id="682560430">
          <w:marLeft w:val="0"/>
          <w:marRight w:val="0"/>
          <w:marTop w:val="0"/>
          <w:marBottom w:val="0"/>
          <w:divBdr>
            <w:top w:val="none" w:sz="0" w:space="0" w:color="auto"/>
            <w:left w:val="none" w:sz="0" w:space="0" w:color="auto"/>
            <w:bottom w:val="none" w:sz="0" w:space="0" w:color="auto"/>
            <w:right w:val="none" w:sz="0" w:space="0" w:color="auto"/>
          </w:divBdr>
        </w:div>
      </w:divsChild>
    </w:div>
    <w:div w:id="1423650599">
      <w:bodyDiv w:val="1"/>
      <w:marLeft w:val="0"/>
      <w:marRight w:val="0"/>
      <w:marTop w:val="0"/>
      <w:marBottom w:val="0"/>
      <w:divBdr>
        <w:top w:val="none" w:sz="0" w:space="0" w:color="auto"/>
        <w:left w:val="none" w:sz="0" w:space="0" w:color="auto"/>
        <w:bottom w:val="none" w:sz="0" w:space="0" w:color="auto"/>
        <w:right w:val="none" w:sz="0" w:space="0" w:color="auto"/>
      </w:divBdr>
      <w:divsChild>
        <w:div w:id="2018459412">
          <w:marLeft w:val="0"/>
          <w:marRight w:val="0"/>
          <w:marTop w:val="0"/>
          <w:marBottom w:val="0"/>
          <w:divBdr>
            <w:top w:val="none" w:sz="0" w:space="0" w:color="auto"/>
            <w:left w:val="none" w:sz="0" w:space="0" w:color="auto"/>
            <w:bottom w:val="none" w:sz="0" w:space="0" w:color="auto"/>
            <w:right w:val="none" w:sz="0" w:space="0" w:color="auto"/>
          </w:divBdr>
        </w:div>
        <w:div w:id="73750619">
          <w:marLeft w:val="0"/>
          <w:marRight w:val="0"/>
          <w:marTop w:val="0"/>
          <w:marBottom w:val="0"/>
          <w:divBdr>
            <w:top w:val="none" w:sz="0" w:space="0" w:color="auto"/>
            <w:left w:val="none" w:sz="0" w:space="0" w:color="auto"/>
            <w:bottom w:val="none" w:sz="0" w:space="0" w:color="auto"/>
            <w:right w:val="none" w:sz="0" w:space="0" w:color="auto"/>
          </w:divBdr>
        </w:div>
        <w:div w:id="825509357">
          <w:marLeft w:val="0"/>
          <w:marRight w:val="0"/>
          <w:marTop w:val="0"/>
          <w:marBottom w:val="0"/>
          <w:divBdr>
            <w:top w:val="none" w:sz="0" w:space="0" w:color="auto"/>
            <w:left w:val="none" w:sz="0" w:space="0" w:color="auto"/>
            <w:bottom w:val="none" w:sz="0" w:space="0" w:color="auto"/>
            <w:right w:val="none" w:sz="0" w:space="0" w:color="auto"/>
          </w:divBdr>
        </w:div>
        <w:div w:id="716970104">
          <w:marLeft w:val="0"/>
          <w:marRight w:val="0"/>
          <w:marTop w:val="0"/>
          <w:marBottom w:val="0"/>
          <w:divBdr>
            <w:top w:val="none" w:sz="0" w:space="0" w:color="auto"/>
            <w:left w:val="none" w:sz="0" w:space="0" w:color="auto"/>
            <w:bottom w:val="none" w:sz="0" w:space="0" w:color="auto"/>
            <w:right w:val="none" w:sz="0" w:space="0" w:color="auto"/>
          </w:divBdr>
        </w:div>
      </w:divsChild>
    </w:div>
    <w:div w:id="1940336581">
      <w:bodyDiv w:val="1"/>
      <w:marLeft w:val="0"/>
      <w:marRight w:val="0"/>
      <w:marTop w:val="0"/>
      <w:marBottom w:val="0"/>
      <w:divBdr>
        <w:top w:val="none" w:sz="0" w:space="0" w:color="auto"/>
        <w:left w:val="none" w:sz="0" w:space="0" w:color="auto"/>
        <w:bottom w:val="none" w:sz="0" w:space="0" w:color="auto"/>
        <w:right w:val="none" w:sz="0" w:space="0" w:color="auto"/>
      </w:divBdr>
      <w:divsChild>
        <w:div w:id="1226718575">
          <w:marLeft w:val="0"/>
          <w:marRight w:val="0"/>
          <w:marTop w:val="0"/>
          <w:marBottom w:val="0"/>
          <w:divBdr>
            <w:top w:val="none" w:sz="0" w:space="0" w:color="auto"/>
            <w:left w:val="none" w:sz="0" w:space="0" w:color="auto"/>
            <w:bottom w:val="none" w:sz="0" w:space="0" w:color="auto"/>
            <w:right w:val="none" w:sz="0" w:space="0" w:color="auto"/>
          </w:divBdr>
        </w:div>
        <w:div w:id="1847399341">
          <w:marLeft w:val="0"/>
          <w:marRight w:val="0"/>
          <w:marTop w:val="0"/>
          <w:marBottom w:val="0"/>
          <w:divBdr>
            <w:top w:val="none" w:sz="0" w:space="0" w:color="auto"/>
            <w:left w:val="none" w:sz="0" w:space="0" w:color="auto"/>
            <w:bottom w:val="none" w:sz="0" w:space="0" w:color="auto"/>
            <w:right w:val="none" w:sz="0" w:space="0" w:color="auto"/>
          </w:divBdr>
        </w:div>
        <w:div w:id="1633705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287/isre.2013.049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15</Pages>
  <Words>4685</Words>
  <Characters>28114</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dc:creator>
  <cp:keywords/>
  <dc:description/>
  <cp:lastModifiedBy>maxiuuu</cp:lastModifiedBy>
  <cp:revision>7</cp:revision>
  <dcterms:created xsi:type="dcterms:W3CDTF">2017-10-31T09:23:00Z</dcterms:created>
  <dcterms:modified xsi:type="dcterms:W3CDTF">2017-10-31T13:53:00Z</dcterms:modified>
</cp:coreProperties>
</file>