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FAA" w:rsidRPr="003B7D81" w:rsidRDefault="00277FAA" w:rsidP="00277FAA">
      <w:pPr>
        <w:pStyle w:val="Standard"/>
        <w:spacing w:line="360" w:lineRule="auto"/>
        <w:jc w:val="center"/>
        <w:rPr>
          <w:b/>
          <w:color w:val="00000A"/>
          <w:lang w:val="en-GB"/>
        </w:rPr>
      </w:pPr>
      <w:r w:rsidRPr="003B7D81">
        <w:rPr>
          <w:b/>
          <w:color w:val="00000A"/>
          <w:lang w:val="en-GB"/>
        </w:rPr>
        <w:t xml:space="preserve">Heterogeneity of </w:t>
      </w:r>
      <w:r>
        <w:rPr>
          <w:rFonts w:cs="Times New Roman"/>
          <w:b/>
          <w:color w:val="00000A"/>
          <w:lang w:val="en-GB"/>
        </w:rPr>
        <w:t>households</w:t>
      </w:r>
      <w:r w:rsidRPr="003B7D81">
        <w:rPr>
          <w:b/>
          <w:color w:val="00000A"/>
          <w:lang w:val="en-GB"/>
        </w:rPr>
        <w:t xml:space="preserve"> in the Euro area, Hungary and Poland in terms of the usage of financial assets and debt on the basis of HFCS</w:t>
      </w:r>
    </w:p>
    <w:p w:rsidR="00277FAA" w:rsidRPr="00F33C2F" w:rsidRDefault="00277FAA" w:rsidP="00277FAA">
      <w:pPr>
        <w:pStyle w:val="Standard"/>
        <w:spacing w:line="360" w:lineRule="auto"/>
        <w:jc w:val="both"/>
        <w:rPr>
          <w:rFonts w:cs="Times New Roman"/>
          <w:color w:val="00000A"/>
          <w:lang w:val="en-GB"/>
        </w:rPr>
      </w:pPr>
      <w:bookmarkStart w:id="0" w:name="_GoBack"/>
      <w:bookmarkEnd w:id="0"/>
      <w:r w:rsidRPr="00F33C2F">
        <w:rPr>
          <w:rFonts w:cs="Times New Roman"/>
          <w:color w:val="00000A"/>
          <w:lang w:val="en-GB"/>
        </w:rPr>
        <w:t>Abstract</w:t>
      </w:r>
    </w:p>
    <w:p w:rsidR="00277FAA" w:rsidRPr="003B7D81" w:rsidRDefault="00277FAA" w:rsidP="00277FAA">
      <w:pPr>
        <w:pStyle w:val="Standard"/>
        <w:spacing w:line="360" w:lineRule="auto"/>
        <w:jc w:val="both"/>
        <w:rPr>
          <w:color w:val="00000A"/>
          <w:lang w:val="en-GB"/>
        </w:rPr>
      </w:pPr>
      <w:r w:rsidRPr="003B7D81">
        <w:rPr>
          <w:color w:val="00000A"/>
          <w:lang w:val="en-GB"/>
        </w:rPr>
        <w:t xml:space="preserve">The article presents some analyses focusing </w:t>
      </w:r>
      <w:r>
        <w:rPr>
          <w:rFonts w:cs="Times New Roman"/>
          <w:color w:val="00000A"/>
          <w:lang w:val="en-GB"/>
        </w:rPr>
        <w:t>on the</w:t>
      </w:r>
      <w:r w:rsidRPr="003B7D81">
        <w:rPr>
          <w:color w:val="00000A"/>
          <w:lang w:val="en-GB"/>
        </w:rPr>
        <w:t xml:space="preserve"> areas where there are differences in households behaviour in </w:t>
      </w:r>
      <w:r>
        <w:rPr>
          <w:rFonts w:cs="Times New Roman"/>
          <w:lang w:val="en-GB"/>
        </w:rPr>
        <w:t xml:space="preserve">selected countries in </w:t>
      </w:r>
      <w:r w:rsidRPr="003B7D81">
        <w:rPr>
          <w:color w:val="00000A"/>
          <w:lang w:val="en-GB"/>
        </w:rPr>
        <w:t>terms of ho</w:t>
      </w:r>
      <w:r>
        <w:rPr>
          <w:color w:val="00000A"/>
          <w:lang w:val="en-GB"/>
        </w:rPr>
        <w:t>lding financial assets and debt</w:t>
      </w:r>
      <w:r w:rsidRPr="003B7D81">
        <w:rPr>
          <w:color w:val="00000A"/>
          <w:lang w:val="en-GB"/>
        </w:rPr>
        <w:t xml:space="preserve"> </w:t>
      </w:r>
      <w:r>
        <w:rPr>
          <w:rFonts w:cs="Times New Roman"/>
          <w:color w:val="00000A"/>
          <w:lang w:val="en-GB"/>
        </w:rPr>
        <w:t xml:space="preserve">in some selected countries. </w:t>
      </w:r>
      <w:r w:rsidRPr="003B7D81">
        <w:rPr>
          <w:color w:val="00000A"/>
          <w:lang w:val="en-GB"/>
        </w:rPr>
        <w:t>The author hypothesizes that although the Euro Area countries share the common monetary policy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color w:val="00000A"/>
          <w:lang w:val="en-GB"/>
        </w:rPr>
        <w:t xml:space="preserve">- </w:t>
      </w:r>
      <w:r w:rsidRPr="003B7D81">
        <w:rPr>
          <w:color w:val="00000A"/>
          <w:lang w:val="en-GB"/>
        </w:rPr>
        <w:t>which defines some of the financial market conditions and activity of financial institutions</w:t>
      </w:r>
      <w:r>
        <w:rPr>
          <w:color w:val="00000A"/>
          <w:lang w:val="en-GB"/>
        </w:rPr>
        <w:t xml:space="preserve"> </w:t>
      </w:r>
      <w:r>
        <w:rPr>
          <w:rFonts w:cs="Times New Roman"/>
          <w:color w:val="00000A"/>
          <w:lang w:val="en-GB"/>
        </w:rPr>
        <w:t>-</w:t>
      </w:r>
      <w:r w:rsidRPr="003B7D81">
        <w:rPr>
          <w:color w:val="00000A"/>
          <w:lang w:val="en-GB"/>
        </w:rPr>
        <w:t xml:space="preserve"> the behaviour of households on the financial markets differs considerably. The subject of </w:t>
      </w:r>
      <w:r>
        <w:rPr>
          <w:rFonts w:cs="Times New Roman"/>
          <w:color w:val="00000A"/>
          <w:lang w:val="en-GB"/>
        </w:rPr>
        <w:t xml:space="preserve">the </w:t>
      </w:r>
      <w:r w:rsidRPr="003B7D81">
        <w:rPr>
          <w:color w:val="00000A"/>
          <w:lang w:val="en-GB"/>
        </w:rPr>
        <w:t xml:space="preserve">analyses </w:t>
      </w:r>
      <w:r>
        <w:rPr>
          <w:rFonts w:cs="Times New Roman"/>
          <w:color w:val="00000A"/>
          <w:lang w:val="en-GB"/>
        </w:rPr>
        <w:t>was</w:t>
      </w:r>
      <w:r w:rsidRPr="003B7D81">
        <w:rPr>
          <w:color w:val="00000A"/>
          <w:lang w:val="en-GB"/>
        </w:rPr>
        <w:t xml:space="preserve"> the structure of financial instruments held by households as well as activity of households by </w:t>
      </w:r>
      <w:r>
        <w:rPr>
          <w:rFonts w:cs="Times New Roman"/>
          <w:color w:val="00000A"/>
          <w:lang w:val="en-GB"/>
        </w:rPr>
        <w:t>their age</w:t>
      </w:r>
      <w:r w:rsidRPr="003B7D81">
        <w:rPr>
          <w:color w:val="00000A"/>
          <w:lang w:val="en-GB"/>
        </w:rPr>
        <w:t xml:space="preserve"> and </w:t>
      </w:r>
      <w:r>
        <w:rPr>
          <w:rFonts w:cs="Times New Roman"/>
          <w:color w:val="00000A"/>
          <w:lang w:val="en-GB"/>
        </w:rPr>
        <w:t>incomes. The author</w:t>
      </w:r>
      <w:r w:rsidRPr="003B7D81">
        <w:rPr>
          <w:color w:val="00000A"/>
          <w:lang w:val="en-GB"/>
        </w:rPr>
        <w:t xml:space="preserve"> also carried out a study of heterogeneity of </w:t>
      </w:r>
      <w:r>
        <w:rPr>
          <w:rFonts w:cs="Times New Roman"/>
          <w:color w:val="00000A"/>
          <w:lang w:val="en-GB"/>
        </w:rPr>
        <w:t>households with the use of  a</w:t>
      </w:r>
      <w:r w:rsidRPr="003B7D81">
        <w:rPr>
          <w:color w:val="00000A"/>
          <w:lang w:val="en-GB"/>
        </w:rPr>
        <w:t xml:space="preserve"> hierarchical cluster analysis which showed significant diversity </w:t>
      </w:r>
      <w:r>
        <w:rPr>
          <w:rFonts w:cs="Times New Roman"/>
          <w:color w:val="00000A"/>
          <w:lang w:val="en-GB"/>
        </w:rPr>
        <w:t>in the</w:t>
      </w:r>
      <w:r w:rsidRPr="003B7D81">
        <w:rPr>
          <w:color w:val="00000A"/>
          <w:lang w:val="en-GB"/>
        </w:rPr>
        <w:t xml:space="preserve"> percentage of </w:t>
      </w:r>
      <w:r>
        <w:rPr>
          <w:rFonts w:cs="Times New Roman"/>
          <w:color w:val="00000A"/>
          <w:lang w:val="en-GB"/>
        </w:rPr>
        <w:t>households</w:t>
      </w:r>
      <w:r w:rsidRPr="003B7D81">
        <w:rPr>
          <w:color w:val="00000A"/>
          <w:lang w:val="en-GB"/>
        </w:rPr>
        <w:t xml:space="preserve"> possessing financial assets together with debt as well as variety </w:t>
      </w:r>
      <w:r>
        <w:rPr>
          <w:rFonts w:cs="Times New Roman"/>
          <w:color w:val="00000A"/>
          <w:lang w:val="en-GB"/>
        </w:rPr>
        <w:t>in the</w:t>
      </w:r>
      <w:r w:rsidRPr="003B7D81">
        <w:rPr>
          <w:color w:val="00000A"/>
          <w:lang w:val="en-GB"/>
        </w:rPr>
        <w:t xml:space="preserve"> value of financial products</w:t>
      </w:r>
      <w:r>
        <w:rPr>
          <w:rFonts w:cs="Times New Roman"/>
          <w:color w:val="00000A"/>
          <w:lang w:val="en-GB"/>
        </w:rPr>
        <w:t xml:space="preserve"> held by them</w:t>
      </w:r>
      <w:r w:rsidRPr="003B7D81">
        <w:rPr>
          <w:color w:val="00000A"/>
          <w:lang w:val="en-GB"/>
        </w:rPr>
        <w:t>.</w:t>
      </w:r>
    </w:p>
    <w:p w:rsidR="00277FAA" w:rsidRDefault="00277FAA" w:rsidP="00277FAA">
      <w:pPr>
        <w:pStyle w:val="Standard"/>
        <w:spacing w:line="360" w:lineRule="auto"/>
        <w:rPr>
          <w:rFonts w:cs="Times New Roman"/>
          <w:color w:val="00000A"/>
          <w:shd w:val="clear" w:color="auto" w:fill="FFFF00"/>
          <w:lang w:val="en-GB"/>
        </w:rPr>
      </w:pPr>
    </w:p>
    <w:p w:rsidR="00277FAA" w:rsidRDefault="00277FAA" w:rsidP="00277FAA">
      <w:pPr>
        <w:pStyle w:val="Standard"/>
        <w:rPr>
          <w:lang w:val="en-GB"/>
        </w:rPr>
      </w:pPr>
      <w:r>
        <w:rPr>
          <w:lang w:val="en-GB"/>
        </w:rPr>
        <w:t>Key words: household finance, financial assets, household debt</w:t>
      </w:r>
    </w:p>
    <w:p w:rsidR="00277FAA" w:rsidRPr="00D0472C" w:rsidRDefault="00277FAA" w:rsidP="00277FAA">
      <w:pPr>
        <w:pStyle w:val="Standard"/>
        <w:spacing w:line="360" w:lineRule="auto"/>
        <w:jc w:val="both"/>
        <w:rPr>
          <w:rFonts w:cs="Times New Roman"/>
          <w:color w:val="00000A"/>
        </w:rPr>
      </w:pPr>
      <w:r w:rsidRPr="00D0472C">
        <w:rPr>
          <w:rFonts w:cs="Times New Roman"/>
          <w:color w:val="00000A"/>
        </w:rPr>
        <w:t>Streszczenie</w:t>
      </w:r>
    </w:p>
    <w:p w:rsidR="00277FAA" w:rsidRPr="00D0472C" w:rsidRDefault="00277FAA" w:rsidP="00277FAA">
      <w:pPr>
        <w:pStyle w:val="Standard"/>
        <w:spacing w:line="360" w:lineRule="auto"/>
        <w:jc w:val="both"/>
        <w:rPr>
          <w:rFonts w:cs="Times New Roman"/>
          <w:color w:val="00000A"/>
        </w:rPr>
      </w:pPr>
      <w:r w:rsidRPr="00D0472C">
        <w:rPr>
          <w:rFonts w:cs="Times New Roman"/>
          <w:color w:val="00000A"/>
        </w:rPr>
        <w:t>W artykule przedstawiono analizy koncentrujące się na obszarach, w których występują różnice w zachowaniach gospodarstw domowych w wybranych krajach pod względem posiadania aktywów finansowych i długu. Autor stawia hipotezę, że chociaż kraje strefy euro mają wspólną politykę monetarną - która określa niektóre warunki rynku finansowego i działalność instytucji finansowych - zachowanie gospodarstw domowych na rynkach finansowych znacznie się różni. Przedmiotem analiz była struktura instrumentów finansowych posiadanych przez gospodarstwa domowe oraz aktywność gospodarstw domowych na wybranych rynkach finansowych z uwzględnieniem ich wieku i dochodów. Autor przeprowadził także analizę heterogeniczności gospodarstw domowych za pomocą hierarchicznej analizy skupień, która wykazała znaczną różnorodność odsetka gospodarstw domowych posiadających aktywa finansowe wraz z długiem oraz różnorodność wartości posiadanych przez nie produktów finansowych.</w:t>
      </w:r>
    </w:p>
    <w:p w:rsidR="00277FAA" w:rsidRPr="00A00BDA" w:rsidRDefault="00277FAA" w:rsidP="00277FAA">
      <w:pPr>
        <w:pStyle w:val="Standard"/>
        <w:spacing w:line="360" w:lineRule="auto"/>
        <w:jc w:val="both"/>
        <w:rPr>
          <w:rFonts w:cs="Times New Roman"/>
          <w:color w:val="00000A"/>
        </w:rPr>
      </w:pPr>
      <w:r w:rsidRPr="00D0472C">
        <w:rPr>
          <w:rFonts w:cs="Times New Roman"/>
          <w:color w:val="00000A"/>
        </w:rPr>
        <w:t>Słowa kluczowe: finanse gospodarstw domowych, aktywa finansowe, zadłużenie gospodarstw domowych</w:t>
      </w:r>
    </w:p>
    <w:p w:rsidR="009F4EBF" w:rsidRDefault="00277FAA"/>
    <w:sectPr w:rsidR="009F4EBF" w:rsidSect="00B94FF5">
      <w:pgSz w:w="11906" w:h="16838"/>
      <w:pgMar w:top="1418" w:right="1985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AA"/>
    <w:rsid w:val="00277FAA"/>
    <w:rsid w:val="00511A4E"/>
    <w:rsid w:val="00E8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1F767-7F29-418B-BF85-813FED7F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7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Korzeniowska</dc:creator>
  <cp:keywords/>
  <dc:description/>
  <cp:lastModifiedBy>Anna Korzeniowska</cp:lastModifiedBy>
  <cp:revision>1</cp:revision>
  <dcterms:created xsi:type="dcterms:W3CDTF">2017-11-07T09:30:00Z</dcterms:created>
  <dcterms:modified xsi:type="dcterms:W3CDTF">2017-11-07T09:30:00Z</dcterms:modified>
</cp:coreProperties>
</file>