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Anna Gołdyn</w:t>
      </w:r>
    </w:p>
    <w:p w:rsidR="00000000" w:rsidDel="00000000" w:rsidP="00000000" w:rsidRDefault="00000000" w:rsidRPr="00000000" w14:paraId="00000002">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impact of the grey zone on the economy in Poland</w:t>
      </w:r>
    </w:p>
    <w:p w:rsidR="00000000" w:rsidDel="00000000" w:rsidP="00000000" w:rsidRDefault="00000000" w:rsidRPr="00000000" w14:paraId="0000000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Objective: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study analyses the phenomenon of the grey zone in Poland and identifies the tax gap in Poland caused by its development.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raises the question of the extent to which the shadow economy affects the Polish economy, and in particular its contribution to the tax gap.</w:t>
      </w:r>
    </w:p>
    <w:p w:rsidR="00000000" w:rsidDel="00000000" w:rsidP="00000000" w:rsidRDefault="00000000" w:rsidRPr="00000000" w14:paraId="0000000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Research Design &amp; Methods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article is based on the grey zone data in the Polish economy. The data, obtained from EY Economic Analysis Team report as well as from the CASE report for the European Commission of VAT. </w:t>
      </w:r>
    </w:p>
    <w:p w:rsidR="00000000" w:rsidDel="00000000" w:rsidP="00000000" w:rsidRDefault="00000000" w:rsidRPr="00000000" w14:paraId="00000006">
      <w:pPr>
        <w:spacing w:after="160" w:line="240" w:lineRule="auto"/>
        <w:jc w:val="both"/>
        <w:rPr>
          <w:rFonts w:ascii="Times New Roman" w:cs="Times New Roman" w:eastAsia="Times New Roman" w:hAnsi="Times New Roman"/>
          <w:color w:val="2e2e38"/>
          <w:sz w:val="24"/>
          <w:szCs w:val="24"/>
        </w:rPr>
      </w:pPr>
      <w:r w:rsidDel="00000000" w:rsidR="00000000" w:rsidRPr="00000000">
        <w:rPr>
          <w:rFonts w:ascii="Times New Roman" w:cs="Times New Roman" w:eastAsia="Times New Roman" w:hAnsi="Times New Roman"/>
          <w:b w:val="1"/>
          <w:i w:val="1"/>
          <w:color w:val="2e2e38"/>
          <w:sz w:val="24"/>
          <w:szCs w:val="24"/>
          <w:rtl w:val="0"/>
        </w:rPr>
        <w:t xml:space="preserve">Findings:</w:t>
      </w:r>
      <w:r w:rsidDel="00000000" w:rsidR="00000000" w:rsidRPr="00000000">
        <w:rPr>
          <w:rFonts w:ascii="Times New Roman" w:cs="Times New Roman" w:eastAsia="Times New Roman" w:hAnsi="Times New Roman"/>
          <w:b w:val="1"/>
          <w:color w:val="2e2e38"/>
          <w:sz w:val="24"/>
          <w:szCs w:val="24"/>
          <w:rtl w:val="0"/>
        </w:rPr>
        <w:t xml:space="preserve"> </w:t>
      </w:r>
      <w:r w:rsidDel="00000000" w:rsidR="00000000" w:rsidRPr="00000000">
        <w:rPr>
          <w:rFonts w:ascii="Times New Roman" w:cs="Times New Roman" w:eastAsia="Times New Roman" w:hAnsi="Times New Roman"/>
          <w:color w:val="2e2e38"/>
          <w:sz w:val="24"/>
          <w:szCs w:val="24"/>
          <w:rtl w:val="0"/>
        </w:rPr>
        <w:t xml:space="preserve">The study shows that the impact of the grey area on the economy is multi-faceted. The growth of the grey zone is largely dependent on the government's mismanagement of economic policy. In turn, the reason for the reduction of the grey area in Poland is a reduction in the amount of tax fraud through the use of better government measures and an increase in transactions carried out in the cashless form.</w:t>
      </w:r>
      <w:r w:rsidDel="00000000" w:rsidR="00000000" w:rsidRPr="00000000">
        <w:rPr>
          <w:rFonts w:ascii="Times New Roman" w:cs="Times New Roman" w:eastAsia="Times New Roman" w:hAnsi="Times New Roman"/>
          <w:b w:val="1"/>
          <w:color w:val="2e2e38"/>
          <w:sz w:val="24"/>
          <w:szCs w:val="24"/>
          <w:rtl w:val="0"/>
        </w:rPr>
        <w:t xml:space="preserve"> </w:t>
      </w:r>
      <w:r w:rsidDel="00000000" w:rsidR="00000000" w:rsidRPr="00000000">
        <w:rPr>
          <w:rFonts w:ascii="Times New Roman" w:cs="Times New Roman" w:eastAsia="Times New Roman" w:hAnsi="Times New Roman"/>
          <w:color w:val="2e2e38"/>
          <w:sz w:val="24"/>
          <w:szCs w:val="24"/>
          <w:rtl w:val="0"/>
        </w:rPr>
        <w:t xml:space="preserve">The results show that the level of the grey zone in Poland since 2019 has been rising but remains at a similar level, in turn, the tax gap since 2015 reduces its level by more than 20%.</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Implications/Recommendations: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study indicates that in order to reduce the negative phenomenon of the grey zone in the economy, effective measures should be taken through the application of appropriate economic policies. The actions of the government should be based on the elimination of system factors that favor the activities that are not officially registered. Through the development of unregistered activities the government loses tax revenue. </w:t>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Contribution:</w:t>
      </w:r>
      <w:r w:rsidDel="00000000" w:rsidR="00000000" w:rsidRPr="00000000">
        <w:rPr>
          <w:rFonts w:ascii="Times New Roman" w:cs="Times New Roman" w:eastAsia="Times New Roman" w:hAnsi="Times New Roman"/>
          <w:sz w:val="24"/>
          <w:szCs w:val="24"/>
          <w:rtl w:val="0"/>
        </w:rPr>
        <w:t xml:space="preserve"> The article contributes to the literature on the change in the size of the grey zone in Poland over the last decade. The analyzis contribute to the understanding of the recent changes in the impact of this phenomenon on the Polish economy.  </w:t>
      </w:r>
    </w:p>
    <w:p w:rsidR="00000000" w:rsidDel="00000000" w:rsidP="00000000" w:rsidRDefault="00000000" w:rsidRPr="00000000" w14:paraId="00000009">
      <w:pPr>
        <w:spacing w:line="360" w:lineRule="auto"/>
        <w:rPr>
          <w:rFonts w:ascii="Times New Roman" w:cs="Times New Roman" w:eastAsia="Times New Roman" w:hAnsi="Times New Roman"/>
          <w:color w:val="2e2e38"/>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grey area, economy, tax gap, labour market</w:t>
      </w:r>
    </w:p>
    <w:p w:rsidR="00000000" w:rsidDel="00000000" w:rsidP="00000000" w:rsidRDefault="00000000" w:rsidRPr="00000000" w14:paraId="0000000B">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Style w:val="Heading1"/>
        <w:keepNext w:val="0"/>
        <w:keepLines w:val="0"/>
        <w:widowControl w:val="0"/>
        <w:spacing w:after="0" w:before="0" w:line="360" w:lineRule="auto"/>
        <w:ind w:left="1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Wpływ szarej strefy na gospodarkę w Polsce</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Cel</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Niniejsze opracowanie analizuje zjawisko szarej strefy w Polsce oraz identyfikuje lukę podatkową w Polsce spowodowaną jej rozwojem. Rodzi to pytanie, w jakim stopniu szara strefa wpływa na polską gospodarkę, a zwłaszcza jej wkład w lukę podatkową.</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Research Design &amp; Methods:</w:t>
      </w:r>
      <w:r w:rsidDel="00000000" w:rsidR="00000000" w:rsidRPr="00000000">
        <w:rPr>
          <w:rFonts w:ascii="Times New Roman" w:cs="Times New Roman" w:eastAsia="Times New Roman" w:hAnsi="Times New Roman"/>
          <w:sz w:val="24"/>
          <w:szCs w:val="24"/>
          <w:rtl w:val="0"/>
        </w:rPr>
        <w:t xml:space="preserve"> Artykuł oparty jest na danych dotyczących szarej strefy w polskiej gospodarce. Dane pochodzą z raportu Zespołu Analiz Ekonomicznych EY oraz z raportu CASE dla Komisji Europejskiej VAT.</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Wnioski</w:t>
      </w:r>
      <w:r w:rsidDel="00000000" w:rsidR="00000000" w:rsidRPr="00000000">
        <w:rPr>
          <w:rFonts w:ascii="Times New Roman" w:cs="Times New Roman" w:eastAsia="Times New Roman" w:hAnsi="Times New Roman"/>
          <w:sz w:val="24"/>
          <w:szCs w:val="24"/>
          <w:rtl w:val="0"/>
        </w:rPr>
        <w:t xml:space="preserve">: Z badania wynika, że ​​wpływ szarej strefy na gospodarkę jest wieloaspektowy. Rozwój szarej strefy jest w dużej mierze uzależniony od złego prowadzenia przez rząd polityki gospodarczej. Z kolei powodem ograniczenia szarej strefy w Polsce jest zmniejszenie liczby oszustw podatkowych poprzez zastosowanie lepszych środków rządowych oraz wzrost transakcji realizowanych w formie bezgotówkowej. Wyniki pokazują, że poziom szarej strefy w Polsce od 2019 r. rośnie, ale pozostaje na podobnym poziomie, z kolei luka podatkowa od 2015 r. obniża jej poziom o ponad 20%.</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Implikacje/Zalecenia</w:t>
      </w:r>
      <w:r w:rsidDel="00000000" w:rsidR="00000000" w:rsidRPr="00000000">
        <w:rPr>
          <w:rFonts w:ascii="Times New Roman" w:cs="Times New Roman" w:eastAsia="Times New Roman" w:hAnsi="Times New Roman"/>
          <w:sz w:val="24"/>
          <w:szCs w:val="24"/>
          <w:rtl w:val="0"/>
        </w:rPr>
        <w:t xml:space="preserve">: Badanie wskazuje, że w celu ograniczenia negatywnego zjawiska szarej strefy w gospodarce należy podejmować skuteczne działania poprzez stosowanie odpowiedniej polityki gospodarczej. Działania rządu powinny opierać się na eliminowaniu czynników systemowych sprzyjających działaniom, które nie są oficjalnie zarejestrowane. Poprzez rozwój działalności nierejestrowanej rząd traci wpływy z podatków.</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Wkład</w:t>
      </w:r>
      <w:r w:rsidDel="00000000" w:rsidR="00000000" w:rsidRPr="00000000">
        <w:rPr>
          <w:rFonts w:ascii="Times New Roman" w:cs="Times New Roman" w:eastAsia="Times New Roman" w:hAnsi="Times New Roman"/>
          <w:sz w:val="24"/>
          <w:szCs w:val="24"/>
          <w:rtl w:val="0"/>
        </w:rPr>
        <w:t xml:space="preserve">: Artykuł stanowi wkład do literatury dotyczącej zmiany wielkości szarej strefy w Polsce w ciągu ostatniej dekady. Analizy przyczyniają się do zrozumienia ostatnich zmian wpływu tego zjawiska na polską gospodarkę.</w:t>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Słowa kluczowe:</w:t>
      </w:r>
      <w:r w:rsidDel="00000000" w:rsidR="00000000" w:rsidRPr="00000000">
        <w:rPr>
          <w:rFonts w:ascii="Times New Roman" w:cs="Times New Roman" w:eastAsia="Times New Roman" w:hAnsi="Times New Roman"/>
          <w:sz w:val="24"/>
          <w:szCs w:val="24"/>
          <w:rtl w:val="0"/>
        </w:rPr>
        <w:t xml:space="preserve"> szara strefa, gospodarka, luka podatkowa, rynek pracy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